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125E9" w14:textId="07FE080C" w:rsidR="00133ED4" w:rsidRDefault="00FB11EF">
      <w:pPr>
        <w:pStyle w:val="CRCoverPage"/>
        <w:tabs>
          <w:tab w:val="right" w:pos="9639"/>
        </w:tabs>
        <w:rPr>
          <w:b/>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rFonts w:eastAsia="MS Mincho" w:cs="Arial"/>
          <w:b/>
          <w:bCs/>
          <w:sz w:val="24"/>
          <w:szCs w:val="24"/>
          <w:lang w:eastAsia="ja-JP"/>
        </w:rPr>
        <w:t xml:space="preserve"> RAN WG1</w:t>
      </w:r>
      <w:r>
        <w:rPr>
          <w:b/>
          <w:sz w:val="24"/>
        </w:rPr>
        <w:fldChar w:fldCharType="end"/>
      </w:r>
      <w:r>
        <w:rPr>
          <w:b/>
          <w:sz w:val="24"/>
        </w:rPr>
        <w:t xml:space="preserve"> #118                                                                     R1-</w:t>
      </w:r>
      <w:r>
        <w:rPr>
          <w:rFonts w:ascii="Helvetica Neue" w:eastAsia="Times New Roman" w:hAnsi="Helvetica Neue"/>
          <w:b/>
          <w:bCs/>
          <w:color w:val="000000"/>
          <w:sz w:val="18"/>
          <w:szCs w:val="18"/>
          <w:lang w:val="en-US" w:eastAsia="zh-CN"/>
        </w:rPr>
        <w:t xml:space="preserve"> </w:t>
      </w:r>
      <w:r w:rsidR="003D21DA" w:rsidRPr="003D21DA">
        <w:rPr>
          <w:b/>
          <w:bCs/>
          <w:sz w:val="24"/>
          <w:lang w:val="en-US"/>
        </w:rPr>
        <w:t>2407442</w:t>
      </w:r>
      <w:r>
        <w:rPr>
          <w:b/>
          <w:i/>
          <w:sz w:val="28"/>
        </w:rPr>
        <w:tab/>
      </w:r>
    </w:p>
    <w:p w14:paraId="519815DD" w14:textId="77777777" w:rsidR="00133ED4" w:rsidRDefault="00FB11EF">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Maastricht, NL, August 19</w:t>
      </w:r>
      <w:r>
        <w:rPr>
          <w:rFonts w:ascii="Arial" w:eastAsia="MS Mincho" w:hAnsi="Arial" w:cs="Arial"/>
          <w:b/>
          <w:bCs/>
          <w:szCs w:val="22"/>
          <w:vertAlign w:val="superscript"/>
          <w:lang w:val="en-GB"/>
        </w:rPr>
        <w:t>th</w:t>
      </w:r>
      <w:r>
        <w:rPr>
          <w:rFonts w:ascii="Arial" w:eastAsia="MS Mincho" w:hAnsi="Arial" w:cs="Arial"/>
          <w:b/>
          <w:bCs/>
          <w:szCs w:val="22"/>
          <w:lang w:val="en-GB"/>
        </w:rPr>
        <w:t xml:space="preserve"> – 23</w:t>
      </w:r>
      <w:r>
        <w:rPr>
          <w:rFonts w:ascii="Arial" w:eastAsia="MS Mincho" w:hAnsi="Arial" w:cs="Arial"/>
          <w:b/>
          <w:bCs/>
          <w:szCs w:val="22"/>
          <w:vertAlign w:val="superscript"/>
          <w:lang w:val="en-GB"/>
        </w:rPr>
        <w:t>rd</w:t>
      </w:r>
      <w:r>
        <w:rPr>
          <w:rFonts w:ascii="Arial" w:eastAsia="MS Mincho" w:hAnsi="Arial" w:cs="Arial"/>
          <w:b/>
          <w:bCs/>
          <w:szCs w:val="22"/>
          <w:lang w:val="en-GB"/>
        </w:rPr>
        <w:t>, 2024</w:t>
      </w:r>
    </w:p>
    <w:p w14:paraId="528B9E4B" w14:textId="77777777" w:rsidR="00133ED4" w:rsidRDefault="00133ED4">
      <w:pPr>
        <w:tabs>
          <w:tab w:val="center" w:pos="4536"/>
          <w:tab w:val="right" w:pos="9072"/>
        </w:tabs>
        <w:rPr>
          <w:rFonts w:ascii="Arial" w:eastAsia="MS Mincho" w:hAnsi="Arial" w:cs="Arial"/>
          <w:b/>
          <w:bCs/>
          <w:lang w:eastAsia="ja-JP"/>
        </w:rPr>
      </w:pPr>
    </w:p>
    <w:p w14:paraId="5144895F" w14:textId="77777777" w:rsidR="00133ED4" w:rsidRDefault="00FB11EF">
      <w:pPr>
        <w:pStyle w:val="3GPPHeader"/>
        <w:rPr>
          <w:sz w:val="22"/>
          <w:szCs w:val="22"/>
        </w:rPr>
      </w:pPr>
      <w:r>
        <w:rPr>
          <w:sz w:val="22"/>
          <w:szCs w:val="22"/>
        </w:rPr>
        <w:t>Agenda Item:</w:t>
      </w:r>
      <w:r>
        <w:rPr>
          <w:sz w:val="22"/>
          <w:szCs w:val="22"/>
        </w:rPr>
        <w:tab/>
        <w:t>7</w:t>
      </w:r>
    </w:p>
    <w:p w14:paraId="4D56F174" w14:textId="77777777" w:rsidR="00133ED4" w:rsidRDefault="00FB11EF">
      <w:pPr>
        <w:pStyle w:val="3GPPHeader"/>
        <w:rPr>
          <w:sz w:val="22"/>
          <w:szCs w:val="22"/>
        </w:rPr>
      </w:pPr>
      <w:r>
        <w:rPr>
          <w:sz w:val="22"/>
          <w:szCs w:val="22"/>
        </w:rPr>
        <w:t>Source:</w:t>
      </w:r>
      <w:r>
        <w:rPr>
          <w:sz w:val="22"/>
          <w:szCs w:val="22"/>
        </w:rPr>
        <w:tab/>
        <w:t>Moderator (Apple Inc.)</w:t>
      </w:r>
    </w:p>
    <w:p w14:paraId="1B79D738" w14:textId="77777777" w:rsidR="00133ED4" w:rsidRDefault="00FB11EF">
      <w:pPr>
        <w:pStyle w:val="3GPPHeader"/>
        <w:rPr>
          <w:sz w:val="22"/>
          <w:szCs w:val="22"/>
        </w:rPr>
      </w:pPr>
      <w:r>
        <w:rPr>
          <w:sz w:val="22"/>
          <w:szCs w:val="22"/>
        </w:rPr>
        <w:t>Title:</w:t>
      </w:r>
      <w:r>
        <w:rPr>
          <w:sz w:val="22"/>
          <w:szCs w:val="22"/>
        </w:rPr>
        <w:tab/>
        <w:t>Moderator summary #1 on remaining issues for uplink Tx switching</w:t>
      </w:r>
    </w:p>
    <w:p w14:paraId="2C423E49" w14:textId="77777777" w:rsidR="00133ED4" w:rsidRDefault="00FB11EF">
      <w:pPr>
        <w:pStyle w:val="3GPPHeader"/>
        <w:rPr>
          <w:sz w:val="22"/>
          <w:szCs w:val="22"/>
        </w:rPr>
      </w:pPr>
      <w:r>
        <w:rPr>
          <w:sz w:val="22"/>
          <w:szCs w:val="22"/>
        </w:rPr>
        <w:t>Document for:</w:t>
      </w:r>
      <w:r>
        <w:rPr>
          <w:sz w:val="22"/>
          <w:szCs w:val="22"/>
        </w:rPr>
        <w:tab/>
        <w:t>Discussion/Decision</w:t>
      </w:r>
    </w:p>
    <w:p w14:paraId="045C402E" w14:textId="77777777" w:rsidR="00133ED4" w:rsidRDefault="00FB11EF">
      <w:pPr>
        <w:pStyle w:val="Heading1"/>
      </w:pPr>
      <w:r>
        <w:t>Introduction</w:t>
      </w:r>
    </w:p>
    <w:p w14:paraId="6216C707" w14:textId="77777777" w:rsidR="00133ED4" w:rsidRDefault="00FB11EF">
      <w:pPr>
        <w:jc w:val="both"/>
        <w:rPr>
          <w:sz w:val="20"/>
          <w:szCs w:val="20"/>
          <w:lang w:val="en-GB"/>
        </w:rPr>
      </w:pPr>
      <w:r>
        <w:rPr>
          <w:sz w:val="20"/>
          <w:szCs w:val="20"/>
          <w:lang w:val="en-GB"/>
        </w:rPr>
        <w:t>In R1-</w:t>
      </w:r>
      <w:r>
        <w:t xml:space="preserve"> </w:t>
      </w:r>
      <w:r>
        <w:rPr>
          <w:sz w:val="20"/>
          <w:szCs w:val="20"/>
          <w:lang w:val="en-GB"/>
        </w:rPr>
        <w:t xml:space="preserve">2406823, an issue regarding timeline to override a configured PUSCH is discussed when CG-PUSCH transmission on a carrier triggers uplink switching but it is overridden by a dynamic PUSCH transmission on that carrier. In current specification, CG-PUSCH cancellation timeline is not relaxed to switching gap. This will result an ambiguity between UE and gNB, in terms of switching state, impact on victim band, and/or dropping CG-PUSCH, given that switching gap is not included in CG-PUSCH cancellation timeline.  </w:t>
      </w:r>
    </w:p>
    <w:p w14:paraId="1EDE38BA" w14:textId="77777777" w:rsidR="00133ED4" w:rsidRDefault="00133ED4">
      <w:pPr>
        <w:jc w:val="both"/>
        <w:rPr>
          <w:sz w:val="20"/>
          <w:szCs w:val="20"/>
        </w:rPr>
      </w:pPr>
    </w:p>
    <w:p w14:paraId="4E330199" w14:textId="77777777" w:rsidR="00133ED4" w:rsidRDefault="00FB11EF">
      <w:pPr>
        <w:pStyle w:val="Heading1"/>
      </w:pPr>
      <w:r>
        <w:t xml:space="preserve">Problem statement  </w:t>
      </w:r>
    </w:p>
    <w:p w14:paraId="15D1361B" w14:textId="77777777" w:rsidR="00133ED4" w:rsidRDefault="00FB11EF">
      <w:pPr>
        <w:jc w:val="both"/>
        <w:rPr>
          <w:sz w:val="20"/>
          <w:szCs w:val="20"/>
        </w:rPr>
      </w:pPr>
      <w:r>
        <w:rPr>
          <w:sz w:val="20"/>
          <w:szCs w:val="20"/>
          <w:lang w:val="en-GB"/>
        </w:rPr>
        <w:t xml:space="preserve">In current specification, </w:t>
      </w:r>
      <w:r>
        <w:rPr>
          <w:sz w:val="20"/>
          <w:szCs w:val="20"/>
        </w:rPr>
        <w:t xml:space="preserve">if an uplink switching is triggered for an uplink transmission starting at </w:t>
      </w:r>
      <w:r>
        <w:rPr>
          <w:i/>
          <w:iCs/>
          <w:sz w:val="20"/>
          <w:szCs w:val="20"/>
        </w:rPr>
        <w:t>T</w:t>
      </w:r>
      <w:r>
        <w:rPr>
          <w:i/>
          <w:iCs/>
          <w:sz w:val="20"/>
          <w:szCs w:val="20"/>
          <w:vertAlign w:val="subscript"/>
        </w:rPr>
        <w:t>0</w:t>
      </w:r>
      <w:r>
        <w:rPr>
          <w:sz w:val="20"/>
          <w:szCs w:val="20"/>
        </w:rPr>
        <w:t xml:space="preserve">, the UE is not expected to cancel the uplink switching after </w:t>
      </w:r>
      <w:r>
        <w:rPr>
          <w:i/>
          <w:iCs/>
          <w:sz w:val="20"/>
          <w:szCs w:val="20"/>
        </w:rPr>
        <w:t>T</w:t>
      </w:r>
      <w:r>
        <w:rPr>
          <w:i/>
          <w:iCs/>
          <w:sz w:val="20"/>
          <w:szCs w:val="20"/>
          <w:vertAlign w:val="subscript"/>
        </w:rPr>
        <w:t>0</w:t>
      </w:r>
      <w:r>
        <w:rPr>
          <w:sz w:val="20"/>
          <w:szCs w:val="20"/>
        </w:rPr>
        <w:t>-</w:t>
      </w:r>
      <w:r>
        <w:rPr>
          <w:i/>
          <w:iCs/>
          <w:sz w:val="20"/>
          <w:szCs w:val="20"/>
        </w:rPr>
        <w:t>T</w:t>
      </w:r>
      <w:r>
        <w:rPr>
          <w:i/>
          <w:iCs/>
          <w:sz w:val="20"/>
          <w:szCs w:val="20"/>
          <w:vertAlign w:val="subscript"/>
        </w:rPr>
        <w:t>offset</w:t>
      </w:r>
      <w:r>
        <w:rPr>
          <w:sz w:val="20"/>
          <w:szCs w:val="20"/>
        </w:rPr>
        <w:t xml:space="preserve">, where </w:t>
      </w:r>
      <w:r>
        <w:rPr>
          <w:i/>
          <w:sz w:val="20"/>
          <w:szCs w:val="20"/>
        </w:rPr>
        <w:t>T</w:t>
      </w:r>
      <w:r>
        <w:rPr>
          <w:i/>
          <w:sz w:val="20"/>
          <w:szCs w:val="20"/>
          <w:vertAlign w:val="subscript"/>
        </w:rPr>
        <w:t>offset</w:t>
      </w:r>
      <w:r>
        <w:rPr>
          <w:sz w:val="20"/>
          <w:szCs w:val="20"/>
        </w:rPr>
        <w:t xml:space="preserve"> is the UE processing procedure time. More precisely, the following text is captured in 38.214, 6.1.6.</w:t>
      </w:r>
    </w:p>
    <w:p w14:paraId="16157663" w14:textId="77777777" w:rsidR="00133ED4" w:rsidRDefault="00133ED4">
      <w:pPr>
        <w:jc w:val="both"/>
        <w:rPr>
          <w:sz w:val="20"/>
          <w:szCs w:val="20"/>
        </w:rPr>
      </w:pPr>
    </w:p>
    <w:tbl>
      <w:tblPr>
        <w:tblStyle w:val="TableGrid"/>
        <w:tblpPr w:leftFromText="180" w:rightFromText="180" w:vertAnchor="text" w:horzAnchor="margin" w:tblpY="128"/>
        <w:tblW w:w="9288" w:type="dxa"/>
        <w:tblLayout w:type="fixed"/>
        <w:tblLook w:val="04A0" w:firstRow="1" w:lastRow="0" w:firstColumn="1" w:lastColumn="0" w:noHBand="0" w:noVBand="1"/>
      </w:tblPr>
      <w:tblGrid>
        <w:gridCol w:w="9288"/>
      </w:tblGrid>
      <w:tr w:rsidR="00133ED4" w14:paraId="2E147B3F" w14:textId="77777777">
        <w:tc>
          <w:tcPr>
            <w:tcW w:w="9288" w:type="dxa"/>
          </w:tcPr>
          <w:p w14:paraId="506B7FDE" w14:textId="77777777" w:rsidR="00133ED4" w:rsidRDefault="00FB11EF">
            <w:pPr>
              <w:keepNext/>
              <w:spacing w:before="120"/>
              <w:outlineLvl w:val="3"/>
              <w:rPr>
                <w:rFonts w:ascii="Arial" w:eastAsia="Arial" w:hAnsi="Arial"/>
                <w:color w:val="000000"/>
                <w:sz w:val="20"/>
                <w:szCs w:val="20"/>
              </w:rPr>
            </w:pPr>
            <w:bookmarkStart w:id="0" w:name="_Toc27299948"/>
            <w:bookmarkStart w:id="1" w:name="_Toc29673363"/>
            <w:bookmarkStart w:id="2" w:name="_Toc45810635"/>
            <w:bookmarkStart w:id="3" w:name="_Toc29674356"/>
            <w:bookmarkStart w:id="4" w:name="_Toc29673222"/>
            <w:bookmarkStart w:id="5" w:name="_Toc36645586"/>
            <w:bookmarkStart w:id="6" w:name="_Toc11352160"/>
            <w:bookmarkStart w:id="7" w:name="_Toc20318050"/>
            <w:r>
              <w:rPr>
                <w:rFonts w:ascii="Arial" w:eastAsia="Arial" w:hAnsi="Arial"/>
                <w:color w:val="000000"/>
                <w:sz w:val="20"/>
                <w:szCs w:val="20"/>
              </w:rPr>
              <w:t>6.1.6</w:t>
            </w:r>
            <w:r>
              <w:rPr>
                <w:rFonts w:ascii="Arial" w:eastAsia="Arial" w:hAnsi="Arial"/>
                <w:color w:val="000000"/>
                <w:sz w:val="20"/>
                <w:szCs w:val="20"/>
              </w:rPr>
              <w:tab/>
            </w:r>
            <w:bookmarkEnd w:id="0"/>
            <w:bookmarkEnd w:id="1"/>
            <w:bookmarkEnd w:id="2"/>
            <w:bookmarkEnd w:id="3"/>
            <w:bookmarkEnd w:id="4"/>
            <w:bookmarkEnd w:id="5"/>
            <w:bookmarkEnd w:id="6"/>
            <w:bookmarkEnd w:id="7"/>
            <w:r>
              <w:rPr>
                <w:rFonts w:ascii="Arial" w:eastAsia="Arial" w:hAnsi="Arial"/>
                <w:color w:val="000000"/>
                <w:sz w:val="20"/>
                <w:szCs w:val="20"/>
              </w:rPr>
              <w:t>Uplink switching</w:t>
            </w:r>
          </w:p>
          <w:p w14:paraId="47154190" w14:textId="77777777" w:rsidR="00133ED4" w:rsidRDefault="00FB11EF">
            <w:pPr>
              <w:jc w:val="both"/>
              <w:rPr>
                <w:rFonts w:eastAsia="SimSun"/>
                <w:sz w:val="20"/>
                <w:szCs w:val="20"/>
              </w:rPr>
            </w:pPr>
            <w:r>
              <w:rPr>
                <w:rFonts w:eastAsia="SimSun"/>
                <w:sz w:val="20"/>
                <w:szCs w:val="20"/>
              </w:rPr>
              <w:t>…</w:t>
            </w:r>
            <w:r>
              <w:rPr>
                <w:rFonts w:eastAsia="SimSun" w:hint="eastAsia"/>
                <w:sz w:val="20"/>
                <w:szCs w:val="20"/>
              </w:rPr>
              <w:t>.</w:t>
            </w:r>
          </w:p>
          <w:p w14:paraId="158109F5" w14:textId="77777777" w:rsidR="00133ED4" w:rsidRDefault="00FB11EF">
            <w:pPr>
              <w:rPr>
                <w:sz w:val="20"/>
                <w:szCs w:val="20"/>
              </w:rPr>
            </w:pPr>
            <w:r>
              <w:rPr>
                <w:sz w:val="20"/>
                <w:szCs w:val="20"/>
              </w:rPr>
              <w:t xml:space="preserve">If an uplink switching is triggered for an uplink transmission starting at </w:t>
            </w:r>
            <w:r>
              <w:rPr>
                <w:i/>
                <w:sz w:val="20"/>
                <w:szCs w:val="20"/>
              </w:rPr>
              <w:t>T</w:t>
            </w:r>
            <w:r>
              <w:rPr>
                <w:i/>
                <w:sz w:val="20"/>
                <w:szCs w:val="20"/>
                <w:vertAlign w:val="subscript"/>
              </w:rPr>
              <w:t>0</w:t>
            </w:r>
            <w:r>
              <w:rPr>
                <w:sz w:val="20"/>
                <w:szCs w:val="20"/>
              </w:rPr>
              <w:t xml:space="preserve">, after </w:t>
            </w:r>
            <w:r>
              <w:rPr>
                <w:i/>
                <w:sz w:val="20"/>
                <w:szCs w:val="20"/>
              </w:rPr>
              <w:t>T</w:t>
            </w:r>
            <w:r>
              <w:rPr>
                <w:i/>
                <w:sz w:val="20"/>
                <w:szCs w:val="20"/>
                <w:vertAlign w:val="subscript"/>
              </w:rPr>
              <w:t>0</w:t>
            </w:r>
            <w:r>
              <w:rPr>
                <w:i/>
                <w:sz w:val="20"/>
                <w:szCs w:val="20"/>
              </w:rPr>
              <w:t>-T</w:t>
            </w:r>
            <w:r>
              <w:rPr>
                <w:i/>
                <w:sz w:val="20"/>
                <w:szCs w:val="20"/>
                <w:vertAlign w:val="subscript"/>
              </w:rPr>
              <w:t>offset</w:t>
            </w:r>
            <w:r>
              <w:rPr>
                <w:sz w:val="20"/>
                <w:szCs w:val="20"/>
              </w:rPr>
              <w:t xml:space="preserve">, the UE is not expected to cancel the uplink switching, or to trigger any other new uplink switching occurring before </w:t>
            </w:r>
            <w:r>
              <w:rPr>
                <w:i/>
                <w:sz w:val="20"/>
                <w:szCs w:val="20"/>
              </w:rPr>
              <w:t>T</w:t>
            </w:r>
            <w:r>
              <w:rPr>
                <w:i/>
                <w:sz w:val="20"/>
                <w:szCs w:val="20"/>
                <w:vertAlign w:val="subscript"/>
              </w:rPr>
              <w:t>0</w:t>
            </w:r>
            <w:r>
              <w:rPr>
                <w:sz w:val="20"/>
                <w:szCs w:val="20"/>
              </w:rPr>
              <w:t xml:space="preserve"> for any other uplink transmission that is scheduled after </w:t>
            </w:r>
            <w:r>
              <w:rPr>
                <w:i/>
                <w:sz w:val="20"/>
                <w:szCs w:val="20"/>
              </w:rPr>
              <w:t>T</w:t>
            </w:r>
            <w:r>
              <w:rPr>
                <w:i/>
                <w:sz w:val="20"/>
                <w:szCs w:val="20"/>
                <w:vertAlign w:val="subscript"/>
              </w:rPr>
              <w:t>0</w:t>
            </w:r>
            <w:r>
              <w:rPr>
                <w:i/>
                <w:sz w:val="20"/>
                <w:szCs w:val="20"/>
              </w:rPr>
              <w:t>-T</w:t>
            </w:r>
            <w:r>
              <w:rPr>
                <w:i/>
                <w:sz w:val="20"/>
                <w:szCs w:val="20"/>
                <w:vertAlign w:val="subscript"/>
              </w:rPr>
              <w:t>offset</w:t>
            </w:r>
            <w:r>
              <w:rPr>
                <w:sz w:val="20"/>
                <w:szCs w:val="20"/>
              </w:rPr>
              <w:t xml:space="preserve">, where </w:t>
            </w:r>
            <w:r>
              <w:rPr>
                <w:i/>
                <w:sz w:val="20"/>
                <w:szCs w:val="20"/>
              </w:rPr>
              <w:t>T</w:t>
            </w:r>
            <w:r>
              <w:rPr>
                <w:i/>
                <w:sz w:val="20"/>
                <w:szCs w:val="20"/>
                <w:vertAlign w:val="subscript"/>
              </w:rPr>
              <w:t>offset</w:t>
            </w:r>
            <w:r>
              <w:rPr>
                <w:sz w:val="20"/>
                <w:szCs w:val="20"/>
              </w:rPr>
              <w:t xml:space="preserve"> is the UE processing procedure time defined for the uplink transmission triggering the switch given in clause 5.3, clause 5.4, clause 6.2.1, clause 6.4 and in clause 9 of [6, TS 38.213].</w:t>
            </w:r>
          </w:p>
          <w:p w14:paraId="1267AAEA" w14:textId="77777777" w:rsidR="00133ED4" w:rsidRDefault="00FB11EF">
            <w:pPr>
              <w:jc w:val="both"/>
              <w:rPr>
                <w:rFonts w:eastAsiaTheme="minorEastAsia"/>
              </w:rPr>
            </w:pPr>
            <w:r>
              <w:rPr>
                <w:rFonts w:eastAsia="SimSun"/>
              </w:rPr>
              <w:t>…</w:t>
            </w:r>
            <w:r>
              <w:rPr>
                <w:rFonts w:eastAsia="SimSun" w:hint="eastAsia"/>
              </w:rPr>
              <w:t>.</w:t>
            </w:r>
          </w:p>
        </w:tc>
      </w:tr>
    </w:tbl>
    <w:p w14:paraId="62C8E81E" w14:textId="77777777" w:rsidR="00133ED4" w:rsidRDefault="00FB11EF">
      <w:pPr>
        <w:jc w:val="both"/>
        <w:rPr>
          <w:sz w:val="20"/>
          <w:szCs w:val="20"/>
        </w:rPr>
      </w:pPr>
      <w:r>
        <w:rPr>
          <w:sz w:val="20"/>
          <w:szCs w:val="20"/>
        </w:rPr>
        <w:t xml:space="preserve"> </w:t>
      </w:r>
    </w:p>
    <w:p w14:paraId="507DA4A2" w14:textId="77777777" w:rsidR="00133ED4" w:rsidRDefault="00133ED4">
      <w:pPr>
        <w:pStyle w:val="0Maintext"/>
        <w:spacing w:after="0" w:afterAutospacing="0" w:line="240" w:lineRule="auto"/>
        <w:ind w:firstLine="0"/>
      </w:pPr>
    </w:p>
    <w:p w14:paraId="7F21BD9B" w14:textId="77777777" w:rsidR="00133ED4" w:rsidRDefault="00FB11EF">
      <w:pPr>
        <w:pStyle w:val="0Maintext"/>
        <w:spacing w:after="0" w:afterAutospacing="0" w:line="240" w:lineRule="auto"/>
        <w:ind w:firstLine="0"/>
      </w:pPr>
      <w:r>
        <w:t xml:space="preserve">Specification allows a CG-PUSCH to be overridden by a DG-PUSCH, if cancellation timeline which is based on </w:t>
      </w:r>
      <w:r>
        <w:rPr>
          <w:i/>
          <w:iCs/>
        </w:rPr>
        <w:t>N</w:t>
      </w:r>
      <w:r>
        <w:rPr>
          <w:i/>
          <w:iCs/>
          <w:vertAlign w:val="subscript"/>
        </w:rPr>
        <w:t>2</w:t>
      </w:r>
      <w:r>
        <w:t xml:space="preserve"> symbols, not based on </w:t>
      </w:r>
      <w:r>
        <w:rPr>
          <w:i/>
          <w:iCs/>
        </w:rPr>
        <w:t>T</w:t>
      </w:r>
      <w:r>
        <w:rPr>
          <w:vertAlign w:val="subscript"/>
        </w:rPr>
        <w:t>proc,2</w:t>
      </w:r>
      <w:r>
        <w:t>, is met. More precisely, we have</w:t>
      </w:r>
    </w:p>
    <w:p w14:paraId="4C73CC95" w14:textId="77777777" w:rsidR="00133ED4" w:rsidRDefault="00133ED4">
      <w:pPr>
        <w:pStyle w:val="0Maintext"/>
        <w:spacing w:after="0" w:afterAutospacing="0" w:line="240" w:lineRule="auto"/>
        <w:ind w:firstLine="0"/>
      </w:pPr>
    </w:p>
    <w:tbl>
      <w:tblPr>
        <w:tblStyle w:val="TableGrid"/>
        <w:tblpPr w:leftFromText="180" w:rightFromText="180" w:vertAnchor="text" w:horzAnchor="margin" w:tblpY="128"/>
        <w:tblW w:w="9288" w:type="dxa"/>
        <w:tblLayout w:type="fixed"/>
        <w:tblLook w:val="04A0" w:firstRow="1" w:lastRow="0" w:firstColumn="1" w:lastColumn="0" w:noHBand="0" w:noVBand="1"/>
      </w:tblPr>
      <w:tblGrid>
        <w:gridCol w:w="9288"/>
      </w:tblGrid>
      <w:tr w:rsidR="00133ED4" w14:paraId="6C736099" w14:textId="77777777">
        <w:tc>
          <w:tcPr>
            <w:tcW w:w="9288" w:type="dxa"/>
          </w:tcPr>
          <w:p w14:paraId="117C51EA" w14:textId="77777777" w:rsidR="00133ED4" w:rsidRDefault="00FB11EF">
            <w:pPr>
              <w:keepNext/>
              <w:spacing w:before="120"/>
              <w:outlineLvl w:val="3"/>
              <w:rPr>
                <w:rFonts w:ascii="Arial" w:eastAsia="Arial" w:hAnsi="Arial"/>
                <w:color w:val="000000"/>
                <w:sz w:val="20"/>
                <w:szCs w:val="20"/>
              </w:rPr>
            </w:pPr>
            <w:r>
              <w:rPr>
                <w:rFonts w:ascii="Arial" w:eastAsia="Arial" w:hAnsi="Arial"/>
                <w:color w:val="000000"/>
                <w:sz w:val="20"/>
                <w:szCs w:val="20"/>
              </w:rPr>
              <w:t>6.1</w:t>
            </w:r>
            <w:r>
              <w:rPr>
                <w:rFonts w:ascii="Arial" w:eastAsia="Arial" w:hAnsi="Arial"/>
                <w:color w:val="000000"/>
                <w:sz w:val="20"/>
                <w:szCs w:val="20"/>
              </w:rPr>
              <w:tab/>
              <w:t>UE procedure for transmitting the physical uplink shared channel</w:t>
            </w:r>
          </w:p>
          <w:p w14:paraId="695F330E" w14:textId="77777777" w:rsidR="00133ED4" w:rsidRDefault="00FB11EF">
            <w:pPr>
              <w:jc w:val="both"/>
              <w:rPr>
                <w:rFonts w:eastAsia="SimSun"/>
                <w:sz w:val="20"/>
                <w:szCs w:val="20"/>
              </w:rPr>
            </w:pPr>
            <w:r>
              <w:rPr>
                <w:rFonts w:eastAsia="SimSun"/>
                <w:sz w:val="20"/>
                <w:szCs w:val="20"/>
              </w:rPr>
              <w:t>…</w:t>
            </w:r>
            <w:r>
              <w:rPr>
                <w:rFonts w:eastAsia="SimSun" w:hint="eastAsia"/>
                <w:sz w:val="20"/>
                <w:szCs w:val="20"/>
              </w:rPr>
              <w:t>.</w:t>
            </w:r>
          </w:p>
          <w:p w14:paraId="04369102" w14:textId="77777777" w:rsidR="00133ED4" w:rsidRDefault="00FB11EF">
            <w:pPr>
              <w:rPr>
                <w:sz w:val="20"/>
                <w:szCs w:val="20"/>
              </w:rPr>
            </w:pPr>
            <w:r>
              <w:rPr>
                <w:sz w:val="20"/>
                <w:szCs w:val="20"/>
              </w:rPr>
              <w:t xml:space="preserve">A UE is not expected to be scheduled by a PDCCH ending in symbol </w:t>
            </w:r>
            <m:oMath>
              <m:r>
                <w:rPr>
                  <w:rFonts w:ascii="Cambria Math" w:hAnsi="Cambria Math"/>
                  <w:sz w:val="20"/>
                  <w:szCs w:val="20"/>
                </w:rPr>
                <m:t>i</m:t>
              </m:r>
            </m:oMath>
            <w:r>
              <w:rPr>
                <w:sz w:val="20"/>
                <w:szCs w:val="20"/>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sz w:val="20"/>
                  <w:szCs w:val="20"/>
                </w:rPr>
                <m:t>j</m:t>
              </m:r>
            </m:oMath>
            <w:r>
              <w:rPr>
                <w:sz w:val="20"/>
                <w:szCs w:val="20"/>
              </w:rPr>
              <w:t xml:space="preserve"> on the same serving cell if the end of symbol </w:t>
            </w:r>
            <m:oMath>
              <m:r>
                <w:rPr>
                  <w:rFonts w:ascii="Cambria Math" w:hAnsi="Cambria Math"/>
                  <w:sz w:val="20"/>
                  <w:szCs w:val="20"/>
                </w:rPr>
                <m:t>i</m:t>
              </m:r>
            </m:oMath>
            <w:r>
              <w:rPr>
                <w:sz w:val="20"/>
                <w:szCs w:val="20"/>
              </w:rPr>
              <w:t xml:space="preserve"> is not at least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Pr>
                <w:sz w:val="20"/>
                <w:szCs w:val="20"/>
              </w:rPr>
              <w:t xml:space="preserve"> symbols before the beginning of symbol </w:t>
            </w:r>
            <m:oMath>
              <m:r>
                <w:rPr>
                  <w:rFonts w:ascii="Cambria Math" w:hAnsi="Cambria Math"/>
                  <w:sz w:val="20"/>
                  <w:szCs w:val="20"/>
                </w:rPr>
                <m:t>j</m:t>
              </m:r>
            </m:oMath>
            <w:r>
              <w:rPr>
                <w:sz w:val="20"/>
                <w:szCs w:val="20"/>
              </w:rPr>
              <w:t xml:space="preserve">.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Pr>
                <w:sz w:val="20"/>
                <w:szCs w:val="20"/>
              </w:rPr>
              <w:t xml:space="preserve"> in symbols is determined according to the UE processing capability defined in Clause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Pr>
                <w:sz w:val="20"/>
                <w:szCs w:val="20"/>
              </w:rPr>
              <w:t>and the symbol duration are based on the minimum of the subcarrier spacing corresponding to the PUSCH with configured grant and the subcarrier spacing of the PDCCH scheduling the PUSCH.</w:t>
            </w:r>
          </w:p>
          <w:p w14:paraId="3C65A2F0" w14:textId="77777777" w:rsidR="00133ED4" w:rsidRDefault="00FB11EF">
            <w:pPr>
              <w:rPr>
                <w:sz w:val="20"/>
                <w:szCs w:val="20"/>
              </w:rPr>
            </w:pPr>
            <w:r>
              <w:rPr>
                <w:sz w:val="20"/>
                <w:szCs w:val="20"/>
              </w:rPr>
              <w:t>…</w:t>
            </w:r>
          </w:p>
          <w:p w14:paraId="2228A748" w14:textId="77777777" w:rsidR="00133ED4" w:rsidRDefault="00133ED4">
            <w:pPr>
              <w:rPr>
                <w:sz w:val="20"/>
                <w:szCs w:val="20"/>
              </w:rPr>
            </w:pPr>
          </w:p>
          <w:p w14:paraId="0CA643AF" w14:textId="77777777" w:rsidR="00133ED4" w:rsidRDefault="00FB11EF">
            <w:pPr>
              <w:rPr>
                <w:sz w:val="20"/>
                <w:szCs w:val="20"/>
              </w:rPr>
            </w:pPr>
            <w:r>
              <w:rPr>
                <w:sz w:val="20"/>
                <w:szCs w:val="20"/>
              </w:rPr>
              <w:t xml:space="preserve">A UE is not expected to be scheduled by a PDCCH ending in symbol </w:t>
            </w:r>
            <m:oMath>
              <m:r>
                <w:rPr>
                  <w:rFonts w:ascii="Cambria Math" w:hAnsi="Cambria Math"/>
                  <w:sz w:val="20"/>
                  <w:szCs w:val="20"/>
                </w:rPr>
                <m:t>i</m:t>
              </m:r>
            </m:oMath>
            <w:r>
              <w:rPr>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Pr>
                <w:sz w:val="20"/>
                <w:szCs w:val="20"/>
              </w:rPr>
              <w:t xml:space="preserve"> after symbol </w:t>
            </w:r>
            <m:oMath>
              <m:r>
                <w:rPr>
                  <w:rFonts w:ascii="Cambria Math" w:hAnsi="Cambria Math"/>
                  <w:sz w:val="20"/>
                  <w:szCs w:val="20"/>
                </w:rPr>
                <m:t>i</m:t>
              </m:r>
            </m:oMath>
            <w:r>
              <w:rPr>
                <w:sz w:val="20"/>
                <w:szCs w:val="20"/>
              </w:rPr>
              <w:t xml:space="preserve">, and if the gap between the end of PDCCH and the beginning of symbol </w:t>
            </w:r>
            <m:oMath>
              <m:r>
                <w:rPr>
                  <w:rFonts w:ascii="Cambria Math" w:hAnsi="Cambria Math"/>
                  <w:sz w:val="20"/>
                  <w:szCs w:val="20"/>
                </w:rPr>
                <m:t>j</m:t>
              </m:r>
            </m:oMath>
            <w:r>
              <w:rPr>
                <w:sz w:val="20"/>
                <w:szCs w:val="20"/>
              </w:rPr>
              <w:t xml:space="preserve"> is </w:t>
            </w:r>
            <w:r>
              <w:rPr>
                <w:sz w:val="20"/>
                <w:szCs w:val="20"/>
              </w:rPr>
              <w:lastRenderedPageBreak/>
              <w:t xml:space="preserve">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Pr>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Pr>
                <w:sz w:val="20"/>
                <w:szCs w:val="20"/>
              </w:rPr>
              <w:t xml:space="preserve"> in symbols is determined according to the UE processing capability defined in Clause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Pr>
                <w:sz w:val="20"/>
                <w:szCs w:val="20"/>
              </w:rPr>
              <w:t>and the symbol duration are based on the minimum of the subcarrier spacing corresponding to the PUSCH with configured grant and the subcarrier spacing of the PDCCH scheduling the PUSCH.</w:t>
            </w:r>
          </w:p>
          <w:p w14:paraId="617F51D6" w14:textId="77777777" w:rsidR="00133ED4" w:rsidRDefault="00FB11EF">
            <w:pPr>
              <w:jc w:val="both"/>
              <w:rPr>
                <w:rFonts w:eastAsiaTheme="minorEastAsia"/>
              </w:rPr>
            </w:pPr>
            <w:r>
              <w:rPr>
                <w:sz w:val="20"/>
                <w:szCs w:val="20"/>
              </w:rPr>
              <w:t>…</w:t>
            </w:r>
          </w:p>
        </w:tc>
      </w:tr>
    </w:tbl>
    <w:p w14:paraId="214DAFF7" w14:textId="77777777" w:rsidR="00133ED4" w:rsidRDefault="00133ED4">
      <w:pPr>
        <w:pStyle w:val="0Maintext"/>
        <w:spacing w:after="0" w:afterAutospacing="0" w:line="240" w:lineRule="auto"/>
        <w:ind w:firstLine="0"/>
      </w:pPr>
    </w:p>
    <w:p w14:paraId="3C645D3D" w14:textId="77777777" w:rsidR="00133ED4" w:rsidRDefault="00FB11EF">
      <w:pPr>
        <w:pStyle w:val="0Maintext"/>
        <w:spacing w:after="0" w:afterAutospacing="0" w:line="240" w:lineRule="auto"/>
        <w:ind w:firstLine="0"/>
      </w:pPr>
      <w:r>
        <w:t xml:space="preserve"> </w:t>
      </w:r>
    </w:p>
    <w:p w14:paraId="7159C413" w14:textId="77777777" w:rsidR="00133ED4" w:rsidRDefault="00FB11EF">
      <w:pPr>
        <w:pStyle w:val="0Maintext"/>
        <w:spacing w:after="0" w:afterAutospacing="0" w:line="240" w:lineRule="auto"/>
        <w:ind w:firstLine="0"/>
        <w:jc w:val="center"/>
      </w:pPr>
      <w:r>
        <w:rPr>
          <w:noProof/>
        </w:rPr>
        <w:drawing>
          <wp:inline distT="0" distB="0" distL="0" distR="0" wp14:anchorId="398D27A9" wp14:editId="77375070">
            <wp:extent cx="5727700" cy="1474470"/>
            <wp:effectExtent l="0" t="0" r="0" b="0"/>
            <wp:docPr id="1407650113" name="Picture 1" descr="A close-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650113" name="Picture 1" descr="A close-up of a screen&#10;&#10;Description automatically generated"/>
                    <pic:cNvPicPr>
                      <a:picLocks noChangeAspect="1"/>
                    </pic:cNvPicPr>
                  </pic:nvPicPr>
                  <pic:blipFill>
                    <a:blip r:embed="rId7"/>
                    <a:stretch>
                      <a:fillRect/>
                    </a:stretch>
                  </pic:blipFill>
                  <pic:spPr>
                    <a:xfrm>
                      <a:off x="0" y="0"/>
                      <a:ext cx="5727700" cy="1474470"/>
                    </a:xfrm>
                    <a:prstGeom prst="rect">
                      <a:avLst/>
                    </a:prstGeom>
                  </pic:spPr>
                </pic:pic>
              </a:graphicData>
            </a:graphic>
          </wp:inline>
        </w:drawing>
      </w:r>
    </w:p>
    <w:p w14:paraId="1BC401B8" w14:textId="77777777" w:rsidR="00133ED4" w:rsidRDefault="00FB11EF">
      <w:pPr>
        <w:pStyle w:val="0Maintext"/>
        <w:spacing w:after="120"/>
        <w:ind w:firstLine="0"/>
        <w:jc w:val="center"/>
        <w:rPr>
          <w:b/>
          <w:bCs/>
        </w:rPr>
      </w:pPr>
      <w:r>
        <w:rPr>
          <w:b/>
          <w:bCs/>
          <w:lang w:val="en-US"/>
        </w:rPr>
        <w:t xml:space="preserve">Figure 1: </w:t>
      </w:r>
      <w:r>
        <w:rPr>
          <w:b/>
          <w:bCs/>
        </w:rPr>
        <w:t xml:space="preserve">UE procedure to override CG-PUSCH when switching is triggered. Fig. 1.1 shows when </w:t>
      </w:r>
      <w:r>
        <w:rPr>
          <w:b/>
          <w:bCs/>
          <w:i/>
          <w:iCs/>
        </w:rPr>
        <w:t>T</w:t>
      </w:r>
      <w:r>
        <w:rPr>
          <w:b/>
          <w:bCs/>
          <w:i/>
          <w:iCs/>
          <w:vertAlign w:val="subscript"/>
        </w:rPr>
        <w:t>switch</w:t>
      </w:r>
      <w:r>
        <w:rPr>
          <w:b/>
          <w:bCs/>
          <w:i/>
          <w:iCs/>
        </w:rPr>
        <w:t xml:space="preserve"> </w:t>
      </w:r>
      <w:r>
        <w:rPr>
          <w:b/>
          <w:bCs/>
        </w:rPr>
        <w:t>is added to overriding timeline, and Fig. 1.2 is based on current specification which is problematic.</w:t>
      </w:r>
    </w:p>
    <w:p w14:paraId="4982AA36" w14:textId="77777777" w:rsidR="00133ED4" w:rsidRDefault="00FB11EF">
      <w:pPr>
        <w:pStyle w:val="0Maintext"/>
        <w:spacing w:after="0" w:afterAutospacing="0" w:line="240" w:lineRule="auto"/>
        <w:ind w:firstLine="0"/>
      </w:pPr>
      <w:r>
        <w:t xml:space="preserve">Here the issue is that unlike for dynamic TDD cancellation, which is based on </w:t>
      </w:r>
      <w:r>
        <w:rPr>
          <w:i/>
          <w:iCs/>
        </w:rPr>
        <w:t>T</w:t>
      </w:r>
      <w:r>
        <w:rPr>
          <w:vertAlign w:val="subscript"/>
        </w:rPr>
        <w:t>proc,2</w:t>
      </w:r>
      <w:r>
        <w:t xml:space="preserve"> and thus switching gap duration is already included to the cancellation timeline, for a DG-PUSCH overriding a CG-PUSCH, cancellation timeline does not add the required switching gap duration. Figure 1.1 shows an example of the required timeline for UE to finish both uplink switching and overriding the CG-PUSCH by a DG-PUSCH.</w:t>
      </w:r>
    </w:p>
    <w:p w14:paraId="34C8C690" w14:textId="77777777" w:rsidR="00133ED4" w:rsidRDefault="00133ED4">
      <w:pPr>
        <w:pStyle w:val="0Maintext"/>
        <w:spacing w:after="0" w:afterAutospacing="0" w:line="240" w:lineRule="auto"/>
        <w:ind w:firstLine="0"/>
      </w:pPr>
    </w:p>
    <w:p w14:paraId="15766033" w14:textId="77777777" w:rsidR="00133ED4" w:rsidRDefault="00FB11EF">
      <w:pPr>
        <w:pStyle w:val="0Maintext"/>
        <w:spacing w:after="0" w:afterAutospacing="0" w:line="240" w:lineRule="auto"/>
        <w:ind w:firstLine="0"/>
      </w:pPr>
      <w:r>
        <w:t>In Fig. 1.1, UE has detected UL DCI overriding CG-PUSCH at least N</w:t>
      </w:r>
      <w:r>
        <w:rPr>
          <w:vertAlign w:val="subscript"/>
        </w:rPr>
        <w:t>2</w:t>
      </w:r>
      <w:r>
        <w:t xml:space="preserve"> symbols before UE commits Tx chain switch from CC</w:t>
      </w:r>
      <w:r>
        <w:rPr>
          <w:vertAlign w:val="subscript"/>
        </w:rPr>
        <w:t>0</w:t>
      </w:r>
      <w:r>
        <w:t xml:space="preserve"> to CC</w:t>
      </w:r>
      <w:r>
        <w:rPr>
          <w:vertAlign w:val="subscript"/>
        </w:rPr>
        <w:t>1</w:t>
      </w:r>
      <w:r>
        <w:t>, i.e. N</w:t>
      </w:r>
      <w:r>
        <w:rPr>
          <w:vertAlign w:val="subscript"/>
        </w:rPr>
        <w:t>2</w:t>
      </w:r>
      <w:r>
        <w:t>+T</w:t>
      </w:r>
      <w:r>
        <w:rPr>
          <w:vertAlign w:val="subscript"/>
        </w:rPr>
        <w:t>switch</w:t>
      </w:r>
      <w:r>
        <w:t xml:space="preserve"> before the start of CG-PUSCH. Thanks to this necessary relaxation, UE will not trigger Tx switching based on the start of CG-PUSCH, given that CG-PUSCH is voided by UL DCI, rather UE commits Tx switching based on the start of DG-PUSCH, as shown in Fig. 1.1. On the other hand, in Fig. 1.2 which is based on current specification without added T</w:t>
      </w:r>
      <w:r>
        <w:rPr>
          <w:vertAlign w:val="subscript"/>
        </w:rPr>
        <w:t>switch</w:t>
      </w:r>
      <w:r>
        <w:t>, since UL DCI is detected too late, UE has already wrongly committed Tx chain switching from CC</w:t>
      </w:r>
      <w:r>
        <w:rPr>
          <w:vertAlign w:val="subscript"/>
        </w:rPr>
        <w:t>0</w:t>
      </w:r>
      <w:r>
        <w:t xml:space="preserve"> based on the beginning of CG-PUSCH, which is earlier than what it is needed. So, if CC</w:t>
      </w:r>
      <w:r>
        <w:rPr>
          <w:vertAlign w:val="subscript"/>
        </w:rPr>
        <w:t>0</w:t>
      </w:r>
      <w:r>
        <w:t xml:space="preserve"> is configured to be the victim band, uplink transmission on CC</w:t>
      </w:r>
      <w:r>
        <w:rPr>
          <w:vertAlign w:val="subscript"/>
        </w:rPr>
        <w:t>0</w:t>
      </w:r>
      <w:r>
        <w:t xml:space="preserve"> is unnecessarily impacted due to earlier switching to CC</w:t>
      </w:r>
      <w:r>
        <w:rPr>
          <w:vertAlign w:val="subscript"/>
        </w:rPr>
        <w:t>1</w:t>
      </w:r>
      <w:r>
        <w:t xml:space="preserve">. </w:t>
      </w:r>
    </w:p>
    <w:p w14:paraId="79554EDA" w14:textId="77777777" w:rsidR="00133ED4" w:rsidRDefault="00133ED4">
      <w:pPr>
        <w:pStyle w:val="0Maintext"/>
        <w:spacing w:after="0" w:afterAutospacing="0" w:line="240" w:lineRule="auto"/>
        <w:ind w:firstLine="0"/>
      </w:pPr>
    </w:p>
    <w:p w14:paraId="58BF0897" w14:textId="77777777" w:rsidR="00133ED4" w:rsidRDefault="00FB11EF">
      <w:pPr>
        <w:pStyle w:val="0Maintext"/>
        <w:spacing w:after="0" w:afterAutospacing="0" w:line="240" w:lineRule="auto"/>
        <w:ind w:firstLine="0"/>
      </w:pPr>
      <w:r>
        <w:t xml:space="preserve">Based on the above discussion, it is noted that without spec clarification, there will be ambiguity on UE behaviour in terms </w:t>
      </w:r>
      <w:r>
        <w:rPr>
          <w:lang w:val="en-US"/>
        </w:rPr>
        <w:t>of impact on victim band transmission, Tx switching state, UL grant which will be used by UE in switch to band, etc.</w:t>
      </w:r>
    </w:p>
    <w:p w14:paraId="33B96B63" w14:textId="77777777" w:rsidR="00133ED4" w:rsidRDefault="00133ED4">
      <w:pPr>
        <w:pStyle w:val="0Maintext"/>
        <w:spacing w:after="0" w:afterAutospacing="0" w:line="240" w:lineRule="auto"/>
        <w:ind w:firstLine="0"/>
      </w:pPr>
    </w:p>
    <w:p w14:paraId="6B598955" w14:textId="77777777" w:rsidR="00133ED4" w:rsidRDefault="00FB11EF">
      <w:pPr>
        <w:pStyle w:val="Heading1"/>
      </w:pPr>
      <w:r>
        <w:t>Discussion</w:t>
      </w:r>
    </w:p>
    <w:p w14:paraId="64F66FF2" w14:textId="77777777" w:rsidR="00133ED4" w:rsidRDefault="00FB11EF">
      <w:pPr>
        <w:pStyle w:val="Heading2"/>
      </w:pPr>
      <w:r>
        <w:t>1</w:t>
      </w:r>
      <w:r>
        <w:rPr>
          <w:vertAlign w:val="superscript"/>
        </w:rPr>
        <w:t xml:space="preserve">st </w:t>
      </w:r>
      <w:r>
        <w:t>Round</w:t>
      </w:r>
    </w:p>
    <w:p w14:paraId="5D3190AC" w14:textId="77777777" w:rsidR="00133ED4" w:rsidRDefault="00133ED4"/>
    <w:p w14:paraId="5187F6B1" w14:textId="77777777" w:rsidR="00133ED4" w:rsidRDefault="00FB11EF">
      <w:pPr>
        <w:pStyle w:val="0Maintext"/>
        <w:spacing w:after="0"/>
        <w:ind w:firstLine="0"/>
      </w:pPr>
      <w:r>
        <w:t>Based on this discussion in previous sections, the following two proposals are given.</w:t>
      </w:r>
    </w:p>
    <w:p w14:paraId="680FC6D4" w14:textId="77777777" w:rsidR="00133ED4" w:rsidRDefault="00FB11EF">
      <w:pPr>
        <w:pStyle w:val="0Maintext"/>
        <w:spacing w:after="0" w:afterAutospacing="0" w:line="240" w:lineRule="auto"/>
        <w:ind w:firstLine="0"/>
        <w:rPr>
          <w:b/>
          <w:bCs/>
          <w:lang w:val="en-US"/>
        </w:rPr>
      </w:pPr>
      <w:r>
        <w:rPr>
          <w:b/>
          <w:bCs/>
        </w:rPr>
        <w:t xml:space="preserve">Proposal 1: </w:t>
      </w:r>
      <w:r>
        <w:rPr>
          <w:b/>
          <w:bCs/>
          <w:lang w:val="en-US"/>
        </w:rPr>
        <w:t xml:space="preserve">Add the switching gap duration, </w:t>
      </w:r>
      <w:r>
        <w:rPr>
          <w:b/>
          <w:bCs/>
          <w:i/>
          <w:iCs/>
          <w:lang w:val="en-US"/>
        </w:rPr>
        <w:t>T</w:t>
      </w:r>
      <w:r>
        <w:rPr>
          <w:b/>
          <w:bCs/>
          <w:i/>
          <w:iCs/>
          <w:vertAlign w:val="subscript"/>
          <w:lang w:val="en-US"/>
        </w:rPr>
        <w:t>switch</w:t>
      </w:r>
      <w:r>
        <w:rPr>
          <w:b/>
          <w:bCs/>
          <w:lang w:val="en-US"/>
        </w:rPr>
        <w:t xml:space="preserve">, to the existing </w:t>
      </w:r>
      <w:r>
        <w:rPr>
          <w:b/>
          <w:bCs/>
          <w:i/>
          <w:iCs/>
          <w:lang w:val="en-US"/>
        </w:rPr>
        <w:t>N</w:t>
      </w:r>
      <w:r>
        <w:rPr>
          <w:b/>
          <w:bCs/>
          <w:i/>
          <w:iCs/>
          <w:vertAlign w:val="subscript"/>
          <w:lang w:val="en-US"/>
        </w:rPr>
        <w:t>2</w:t>
      </w:r>
      <w:r>
        <w:rPr>
          <w:b/>
          <w:bCs/>
          <w:lang w:val="en-US"/>
        </w:rPr>
        <w:t xml:space="preserve"> symbols to cancel a configured PUSCH transmission on a serving cell by a DG-PUSCH transmission on that cell, when CG-PUSCH transmission triggers uplink Tx switching. </w:t>
      </w:r>
    </w:p>
    <w:p w14:paraId="404BADC0" w14:textId="77777777" w:rsidR="00133ED4" w:rsidRDefault="00133ED4">
      <w:pPr>
        <w:pStyle w:val="0Maintext"/>
        <w:spacing w:after="0" w:afterAutospacing="0" w:line="240" w:lineRule="auto"/>
        <w:ind w:firstLine="0"/>
        <w:rPr>
          <w:b/>
          <w:bCs/>
        </w:rPr>
      </w:pPr>
    </w:p>
    <w:p w14:paraId="32556675" w14:textId="77777777" w:rsidR="00133ED4" w:rsidRDefault="00FB11EF">
      <w:pPr>
        <w:pStyle w:val="0Maintext"/>
        <w:spacing w:after="0"/>
        <w:ind w:firstLine="0"/>
      </w:pPr>
      <w:r>
        <w:t>Please provide your feedback regarding the above Proposal 1.</w:t>
      </w:r>
    </w:p>
    <w:tbl>
      <w:tblPr>
        <w:tblStyle w:val="TableGrid"/>
        <w:tblW w:w="9085" w:type="dxa"/>
        <w:jc w:val="center"/>
        <w:tblLook w:val="04A0" w:firstRow="1" w:lastRow="0" w:firstColumn="1" w:lastColumn="0" w:noHBand="0" w:noVBand="1"/>
      </w:tblPr>
      <w:tblGrid>
        <w:gridCol w:w="2425"/>
        <w:gridCol w:w="6660"/>
      </w:tblGrid>
      <w:tr w:rsidR="00133ED4" w14:paraId="725FBD7A" w14:textId="77777777">
        <w:trPr>
          <w:jc w:val="center"/>
        </w:trPr>
        <w:tc>
          <w:tcPr>
            <w:tcW w:w="2425" w:type="dxa"/>
            <w:shd w:val="clear" w:color="auto" w:fill="ACB9CA" w:themeFill="text2" w:themeFillTint="66"/>
          </w:tcPr>
          <w:p w14:paraId="114869D4" w14:textId="77777777" w:rsidR="00133ED4" w:rsidRDefault="00FB11EF">
            <w:pPr>
              <w:pStyle w:val="0Maintext"/>
              <w:spacing w:after="120" w:line="240" w:lineRule="auto"/>
              <w:rPr>
                <w:b/>
              </w:rPr>
            </w:pPr>
            <w:r>
              <w:rPr>
                <w:b/>
              </w:rPr>
              <w:t>Company</w:t>
            </w:r>
          </w:p>
        </w:tc>
        <w:tc>
          <w:tcPr>
            <w:tcW w:w="6660" w:type="dxa"/>
            <w:shd w:val="clear" w:color="auto" w:fill="ACB9CA" w:themeFill="text2" w:themeFillTint="66"/>
          </w:tcPr>
          <w:p w14:paraId="22109CE5" w14:textId="77777777" w:rsidR="00133ED4" w:rsidRDefault="00FB11EF">
            <w:pPr>
              <w:pStyle w:val="0Maintext"/>
              <w:spacing w:after="120" w:line="240" w:lineRule="auto"/>
              <w:jc w:val="center"/>
              <w:rPr>
                <w:b/>
              </w:rPr>
            </w:pPr>
            <w:r>
              <w:rPr>
                <w:b/>
              </w:rPr>
              <w:t>Comments</w:t>
            </w:r>
          </w:p>
        </w:tc>
      </w:tr>
      <w:tr w:rsidR="00133ED4" w14:paraId="64851884" w14:textId="77777777">
        <w:trPr>
          <w:jc w:val="center"/>
        </w:trPr>
        <w:tc>
          <w:tcPr>
            <w:tcW w:w="2425" w:type="dxa"/>
          </w:tcPr>
          <w:p w14:paraId="5DF4EBAD" w14:textId="77777777" w:rsidR="00133ED4" w:rsidRDefault="00FB11EF">
            <w:pPr>
              <w:pStyle w:val="0Maintext"/>
              <w:spacing w:after="120" w:line="240" w:lineRule="auto"/>
              <w:rPr>
                <w:rFonts w:eastAsia="Yu Mincho"/>
                <w:lang w:eastAsia="ja-JP"/>
              </w:rPr>
            </w:pPr>
            <w:r>
              <w:rPr>
                <w:rFonts w:eastAsia="Yu Mincho" w:hint="eastAsia"/>
                <w:lang w:eastAsia="ja-JP"/>
              </w:rPr>
              <w:t>NTT DOCOMO</w:t>
            </w:r>
          </w:p>
        </w:tc>
        <w:tc>
          <w:tcPr>
            <w:tcW w:w="6660" w:type="dxa"/>
          </w:tcPr>
          <w:p w14:paraId="18023D84" w14:textId="77777777" w:rsidR="00133ED4" w:rsidRDefault="00FB11EF">
            <w:pPr>
              <w:pStyle w:val="0Maintext"/>
              <w:spacing w:after="120" w:line="240" w:lineRule="auto"/>
              <w:ind w:firstLine="0"/>
              <w:rPr>
                <w:rFonts w:eastAsia="Yu Mincho"/>
                <w:lang w:eastAsia="ja-JP"/>
              </w:rPr>
            </w:pPr>
            <w:r>
              <w:rPr>
                <w:rFonts w:eastAsia="Yu Mincho" w:hint="eastAsia"/>
                <w:lang w:eastAsia="ja-JP"/>
              </w:rPr>
              <w:t>We see the point that if the UL Tx switching is affected by the overriding, the cancellation timeline should include T_switch.</w:t>
            </w:r>
          </w:p>
          <w:p w14:paraId="28FEB97C" w14:textId="77777777" w:rsidR="00133ED4" w:rsidRDefault="00FB11EF">
            <w:pPr>
              <w:pStyle w:val="0Maintext"/>
              <w:spacing w:after="120" w:line="240" w:lineRule="auto"/>
              <w:ind w:firstLine="0"/>
              <w:rPr>
                <w:rFonts w:eastAsia="Yu Mincho"/>
                <w:lang w:eastAsia="ja-JP"/>
              </w:rPr>
            </w:pPr>
            <w:r>
              <w:rPr>
                <w:rFonts w:eastAsia="Yu Mincho" w:hint="eastAsia"/>
                <w:lang w:eastAsia="ja-JP"/>
              </w:rPr>
              <w:lastRenderedPageBreak/>
              <w:t>However, in case of DG PUSCH overriding a CG-PUSCH on the same serving cell, we are wondering whether UL Tx switching operation is affected. When CG-PUSCH transmission on the serving cell triggers UL Tx switching, DG-PUSCH overriding the CG-PUSCH on the same serving cell would also require UL Tx switching.</w:t>
            </w:r>
          </w:p>
          <w:p w14:paraId="4F1E9D4B" w14:textId="77777777" w:rsidR="00133ED4" w:rsidRDefault="00FB11EF">
            <w:pPr>
              <w:pStyle w:val="0Maintext"/>
              <w:spacing w:after="120" w:line="240" w:lineRule="auto"/>
              <w:ind w:firstLine="0"/>
              <w:rPr>
                <w:rFonts w:eastAsia="Yu Mincho"/>
                <w:lang w:eastAsia="ja-JP"/>
              </w:rPr>
            </w:pPr>
            <w:r>
              <w:rPr>
                <w:rFonts w:eastAsia="Yu Mincho" w:hint="eastAsia"/>
                <w:lang w:eastAsia="ja-JP"/>
              </w:rPr>
              <w:t xml:space="preserve">It may be necessary to clarify when to perform UL Tx switching, i.e., whether just </w:t>
            </w:r>
            <w:r>
              <w:rPr>
                <w:rFonts w:eastAsia="Yu Mincho"/>
                <w:lang w:eastAsia="ja-JP"/>
              </w:rPr>
              <w:t>before</w:t>
            </w:r>
            <w:r>
              <w:rPr>
                <w:rFonts w:eastAsia="Yu Mincho" w:hint="eastAsia"/>
                <w:lang w:eastAsia="ja-JP"/>
              </w:rPr>
              <w:t xml:space="preserve"> the start of original CG-PUSCH or just before the start of DG-PUSCH if it impacts to interruption on victim carrier. </w:t>
            </w:r>
          </w:p>
        </w:tc>
      </w:tr>
      <w:tr w:rsidR="00133ED4" w14:paraId="7ADE678C" w14:textId="77777777">
        <w:trPr>
          <w:jc w:val="center"/>
        </w:trPr>
        <w:tc>
          <w:tcPr>
            <w:tcW w:w="2425" w:type="dxa"/>
          </w:tcPr>
          <w:p w14:paraId="610A6AB9" w14:textId="77777777" w:rsidR="00133ED4" w:rsidRDefault="00FB11EF">
            <w:pPr>
              <w:pStyle w:val="0Maintext"/>
              <w:spacing w:after="120" w:line="240" w:lineRule="auto"/>
            </w:pPr>
            <w:r>
              <w:lastRenderedPageBreak/>
              <w:t>Apple</w:t>
            </w:r>
          </w:p>
        </w:tc>
        <w:tc>
          <w:tcPr>
            <w:tcW w:w="6660" w:type="dxa"/>
          </w:tcPr>
          <w:p w14:paraId="67AD3530" w14:textId="77777777" w:rsidR="00133ED4" w:rsidRDefault="00FB11EF">
            <w:pPr>
              <w:pStyle w:val="0Maintext"/>
              <w:spacing w:after="120" w:line="240" w:lineRule="auto"/>
              <w:ind w:firstLine="0"/>
            </w:pPr>
            <w:r>
              <w:t>Support. Without such relaxation, UE receives cancellation DCI after UE has committed Tx switching, wrongly based on CG-PUSCH which is voided by NW (but at the time that UE commits switching, UL DCI is not detected yet since the gap is insufficient as shown by Fig. 1.2). This results ambiguity between UE and NW: 1) UL Tx switching state is unclear as it won’t be clear if/whether UE switches and if so to which UL grant (DG or CG), 2) if the switch to carrier is configured to be victim, UE may unnecessarily impact UL transmission on victim.</w:t>
            </w:r>
          </w:p>
        </w:tc>
      </w:tr>
      <w:tr w:rsidR="00133ED4" w14:paraId="7E2033C1" w14:textId="77777777">
        <w:trPr>
          <w:jc w:val="center"/>
        </w:trPr>
        <w:tc>
          <w:tcPr>
            <w:tcW w:w="2425" w:type="dxa"/>
          </w:tcPr>
          <w:p w14:paraId="41376264" w14:textId="77777777" w:rsidR="00133ED4" w:rsidRDefault="00FB11EF">
            <w:pPr>
              <w:pStyle w:val="0Maintext"/>
              <w:spacing w:after="120" w:line="240" w:lineRule="auto"/>
              <w:rPr>
                <w:rFonts w:eastAsiaTheme="minorEastAsia"/>
                <w:lang w:eastAsia="zh-CN"/>
              </w:rPr>
            </w:pPr>
            <w:r>
              <w:rPr>
                <w:rFonts w:eastAsiaTheme="minorEastAsia" w:hint="eastAsia"/>
                <w:lang w:eastAsia="zh-CN"/>
              </w:rPr>
              <w:t>Z</w:t>
            </w:r>
            <w:r>
              <w:rPr>
                <w:rFonts w:eastAsiaTheme="minorEastAsia"/>
                <w:lang w:eastAsia="zh-CN"/>
              </w:rPr>
              <w:t>TE</w:t>
            </w:r>
          </w:p>
        </w:tc>
        <w:tc>
          <w:tcPr>
            <w:tcW w:w="6660" w:type="dxa"/>
          </w:tcPr>
          <w:p w14:paraId="04C66BFA" w14:textId="77777777" w:rsidR="00133ED4" w:rsidRDefault="00FB11EF">
            <w:pPr>
              <w:pStyle w:val="0Maintext"/>
              <w:spacing w:after="120" w:line="240" w:lineRule="auto"/>
              <w:ind w:firstLine="0"/>
              <w:rPr>
                <w:rFonts w:eastAsiaTheme="minorEastAsia"/>
                <w:lang w:eastAsia="zh-CN"/>
              </w:rPr>
            </w:pPr>
            <w:r>
              <w:rPr>
                <w:rFonts w:eastAsiaTheme="minorEastAsia" w:hint="eastAsia"/>
                <w:lang w:eastAsia="zh-CN"/>
              </w:rPr>
              <w:t>W</w:t>
            </w:r>
            <w:r>
              <w:rPr>
                <w:rFonts w:eastAsiaTheme="minorEastAsia"/>
                <w:lang w:eastAsia="zh-CN"/>
              </w:rPr>
              <w:t xml:space="preserve">e echo the issue mentioned by NTT DOCOMO. </w:t>
            </w:r>
          </w:p>
          <w:p w14:paraId="4B28FA89" w14:textId="77777777" w:rsidR="00133ED4" w:rsidRDefault="00FB11EF">
            <w:pPr>
              <w:pStyle w:val="0Maintext"/>
              <w:spacing w:after="120" w:line="240" w:lineRule="auto"/>
              <w:ind w:firstLine="0"/>
              <w:rPr>
                <w:rFonts w:eastAsiaTheme="minorEastAsia"/>
                <w:lang w:eastAsia="zh-CN"/>
              </w:rPr>
            </w:pPr>
            <w:r>
              <w:rPr>
                <w:rFonts w:eastAsiaTheme="minorEastAsia" w:hint="eastAsia"/>
                <w:lang w:eastAsia="zh-CN"/>
              </w:rPr>
              <w:t>I</w:t>
            </w:r>
            <w:r>
              <w:rPr>
                <w:rFonts w:eastAsiaTheme="minorEastAsia"/>
                <w:lang w:eastAsia="zh-CN"/>
              </w:rPr>
              <w:t xml:space="preserve">n addition, it would be good to know the moderator’s view on the starting release for this TP. </w:t>
            </w:r>
            <w:r>
              <w:rPr>
                <w:rFonts w:eastAsiaTheme="minorEastAsia" w:hint="eastAsia"/>
                <w:lang w:eastAsia="zh-CN"/>
              </w:rPr>
              <w:t>F</w:t>
            </w:r>
            <w:r>
              <w:rPr>
                <w:rFonts w:eastAsiaTheme="minorEastAsia"/>
                <w:lang w:eastAsia="zh-CN"/>
              </w:rPr>
              <w:t xml:space="preserve">rom our perspective, it would be too late to change Rel-16/17 timeline.  </w:t>
            </w:r>
          </w:p>
        </w:tc>
      </w:tr>
      <w:tr w:rsidR="00133ED4" w14:paraId="554CBE0D" w14:textId="77777777">
        <w:trPr>
          <w:jc w:val="center"/>
        </w:trPr>
        <w:tc>
          <w:tcPr>
            <w:tcW w:w="2425" w:type="dxa"/>
          </w:tcPr>
          <w:p w14:paraId="346E7916" w14:textId="77777777" w:rsidR="00133ED4" w:rsidRDefault="00FB11EF">
            <w:pPr>
              <w:pStyle w:val="0Maintext"/>
              <w:spacing w:after="120" w:line="240" w:lineRule="auto"/>
              <w:rPr>
                <w:rFonts w:eastAsia="PMingLiU"/>
                <w:lang w:eastAsia="zh-TW"/>
              </w:rPr>
            </w:pPr>
            <w:r>
              <w:rPr>
                <w:rFonts w:eastAsia="PMingLiU" w:hint="eastAsia"/>
                <w:lang w:eastAsia="zh-TW"/>
              </w:rPr>
              <w:t>M</w:t>
            </w:r>
            <w:r>
              <w:rPr>
                <w:rFonts w:eastAsia="PMingLiU"/>
                <w:lang w:eastAsia="zh-TW"/>
              </w:rPr>
              <w:t>TK</w:t>
            </w:r>
          </w:p>
        </w:tc>
        <w:tc>
          <w:tcPr>
            <w:tcW w:w="6660" w:type="dxa"/>
          </w:tcPr>
          <w:p w14:paraId="0D281225" w14:textId="77777777" w:rsidR="00133ED4" w:rsidRDefault="00FB11EF">
            <w:pPr>
              <w:pStyle w:val="0Maintext"/>
              <w:spacing w:after="120" w:line="240" w:lineRule="auto"/>
              <w:ind w:firstLine="0"/>
              <w:rPr>
                <w:rFonts w:eastAsia="PMingLiU"/>
                <w:lang w:eastAsia="zh-TW"/>
              </w:rPr>
            </w:pPr>
            <w:r>
              <w:rPr>
                <w:rFonts w:eastAsia="PMingLiU" w:hint="eastAsia"/>
                <w:lang w:eastAsia="zh-TW"/>
              </w:rPr>
              <w:t>W</w:t>
            </w:r>
            <w:r>
              <w:rPr>
                <w:rFonts w:eastAsia="PMingLiU"/>
                <w:lang w:eastAsia="zh-TW"/>
              </w:rPr>
              <w:t>e support the Proposal 1.</w:t>
            </w:r>
          </w:p>
        </w:tc>
      </w:tr>
      <w:tr w:rsidR="00133ED4" w14:paraId="71CCA520" w14:textId="77777777">
        <w:trPr>
          <w:jc w:val="center"/>
        </w:trPr>
        <w:tc>
          <w:tcPr>
            <w:tcW w:w="2425" w:type="dxa"/>
          </w:tcPr>
          <w:p w14:paraId="7C23E3CB" w14:textId="77777777" w:rsidR="00133ED4" w:rsidRDefault="00FB11EF">
            <w:pPr>
              <w:pStyle w:val="0Maintext"/>
              <w:spacing w:after="120" w:line="240" w:lineRule="auto"/>
            </w:pPr>
            <w:r>
              <w:t>Nokia</w:t>
            </w:r>
          </w:p>
        </w:tc>
        <w:tc>
          <w:tcPr>
            <w:tcW w:w="6660" w:type="dxa"/>
          </w:tcPr>
          <w:p w14:paraId="07E6D23E" w14:textId="77777777" w:rsidR="00133ED4" w:rsidRDefault="00FB11EF">
            <w:pPr>
              <w:pStyle w:val="0Maintext"/>
              <w:spacing w:after="120" w:line="240" w:lineRule="auto"/>
              <w:ind w:firstLine="0"/>
            </w:pPr>
            <w:r>
              <w:t xml:space="preserve">If the CG-PUSCH transmission doesn’t take place, then it doesn’t trigger a switch either. </w:t>
            </w:r>
            <w:proofErr w:type="gramStart"/>
            <w:r>
              <w:t>So</w:t>
            </w:r>
            <w:proofErr w:type="gramEnd"/>
            <w:r>
              <w:t xml:space="preserve"> in the case that a DG-PUSCH cancels a CG-PUSCH (or is scheduled on a CG-PUSCH opportunity in which there wouldn’t have been any CG-PUSCh due to no data), it is the DG-PUSCH that triggers the switch (and by definition the DCI</w:t>
            </w:r>
            <w:r>
              <w:sym w:font="Wingdings" w:char="F0E0"/>
            </w:r>
            <w:r>
              <w:t xml:space="preserve">DG-PUSCH minimum distance contains Tswitch). </w:t>
            </w:r>
          </w:p>
          <w:p w14:paraId="3D1C52CA" w14:textId="77777777" w:rsidR="00133ED4" w:rsidRDefault="00FB11EF">
            <w:pPr>
              <w:pStyle w:val="0Maintext"/>
              <w:spacing w:after="120" w:line="240" w:lineRule="auto"/>
              <w:ind w:firstLine="0"/>
            </w:pPr>
            <w:r>
              <w:t>There is already a Tx switch cancellation timeline defined in subclause 6.1.6 (below), which in our view already takes care of the case raised. If the proponent feels that 6.1.6 is not clear enough, but if there is a strong desire to clarify this, we would see 6.1.6 to be the place to do so, not 6.1</w:t>
            </w:r>
          </w:p>
          <w:p w14:paraId="02A0E70E" w14:textId="77777777" w:rsidR="00133ED4" w:rsidRDefault="00FB11EF">
            <w:pPr>
              <w:pStyle w:val="0Maintext"/>
              <w:spacing w:after="120"/>
              <w:ind w:left="720" w:firstLine="0"/>
              <w:rPr>
                <w:color w:val="4472C4" w:themeColor="accent1"/>
              </w:rPr>
            </w:pPr>
            <w:r>
              <w:rPr>
                <w:color w:val="4472C4" w:themeColor="accent1"/>
              </w:rPr>
              <w:t xml:space="preserve">If an uplink switching is triggered for an uplink transmission starting at </w:t>
            </w:r>
            <w:r>
              <w:rPr>
                <w:i/>
                <w:color w:val="4472C4" w:themeColor="accent1"/>
              </w:rPr>
              <w:t>T</w:t>
            </w:r>
            <w:r>
              <w:rPr>
                <w:i/>
                <w:color w:val="4472C4" w:themeColor="accent1"/>
                <w:vertAlign w:val="subscript"/>
              </w:rPr>
              <w:t>0</w:t>
            </w:r>
            <w:r>
              <w:rPr>
                <w:color w:val="4472C4" w:themeColor="accent1"/>
              </w:rPr>
              <w:t xml:space="preserve">, after </w:t>
            </w:r>
            <w:r>
              <w:rPr>
                <w:i/>
                <w:color w:val="4472C4" w:themeColor="accent1"/>
              </w:rPr>
              <w:t>T</w:t>
            </w:r>
            <w:r>
              <w:rPr>
                <w:i/>
                <w:color w:val="4472C4" w:themeColor="accent1"/>
                <w:vertAlign w:val="subscript"/>
              </w:rPr>
              <w:t>0</w:t>
            </w:r>
            <w:r>
              <w:rPr>
                <w:i/>
                <w:color w:val="4472C4" w:themeColor="accent1"/>
              </w:rPr>
              <w:t>-T</w:t>
            </w:r>
            <w:r>
              <w:rPr>
                <w:i/>
                <w:color w:val="4472C4" w:themeColor="accent1"/>
                <w:vertAlign w:val="subscript"/>
              </w:rPr>
              <w:t>offset</w:t>
            </w:r>
            <w:r>
              <w:rPr>
                <w:color w:val="4472C4" w:themeColor="accent1"/>
              </w:rPr>
              <w:t xml:space="preserve">, the UE is not expected to cancel the uplink switching, or to trigger any other new uplink switching occurring before </w:t>
            </w:r>
            <w:r>
              <w:rPr>
                <w:i/>
                <w:color w:val="4472C4" w:themeColor="accent1"/>
              </w:rPr>
              <w:t>T</w:t>
            </w:r>
            <w:r>
              <w:rPr>
                <w:i/>
                <w:color w:val="4472C4" w:themeColor="accent1"/>
                <w:vertAlign w:val="subscript"/>
              </w:rPr>
              <w:t>0</w:t>
            </w:r>
            <w:r>
              <w:rPr>
                <w:color w:val="4472C4" w:themeColor="accent1"/>
              </w:rPr>
              <w:t xml:space="preserve"> for any other uplink transmission that is scheduled after </w:t>
            </w:r>
            <w:r>
              <w:rPr>
                <w:i/>
                <w:color w:val="4472C4" w:themeColor="accent1"/>
              </w:rPr>
              <w:t>T</w:t>
            </w:r>
            <w:r>
              <w:rPr>
                <w:i/>
                <w:color w:val="4472C4" w:themeColor="accent1"/>
                <w:vertAlign w:val="subscript"/>
              </w:rPr>
              <w:t>0</w:t>
            </w:r>
            <w:r>
              <w:rPr>
                <w:i/>
                <w:color w:val="4472C4" w:themeColor="accent1"/>
              </w:rPr>
              <w:t>-T</w:t>
            </w:r>
            <w:r>
              <w:rPr>
                <w:i/>
                <w:color w:val="4472C4" w:themeColor="accent1"/>
                <w:vertAlign w:val="subscript"/>
              </w:rPr>
              <w:t>offset</w:t>
            </w:r>
            <w:r>
              <w:rPr>
                <w:color w:val="4472C4" w:themeColor="accent1"/>
              </w:rPr>
              <w:t xml:space="preserve">, where </w:t>
            </w:r>
            <w:r>
              <w:rPr>
                <w:i/>
                <w:color w:val="4472C4" w:themeColor="accent1"/>
              </w:rPr>
              <w:t>T</w:t>
            </w:r>
            <w:r>
              <w:rPr>
                <w:i/>
                <w:color w:val="4472C4" w:themeColor="accent1"/>
                <w:vertAlign w:val="subscript"/>
              </w:rPr>
              <w:t>offset</w:t>
            </w:r>
            <w:r>
              <w:rPr>
                <w:color w:val="4472C4" w:themeColor="accent1"/>
              </w:rPr>
              <w:t xml:space="preserve"> is the UE processing procedure time defined for the uplink transmission triggering the switch given in clause 5.3, clause 5.4, clause 6.2.1, clause 6.4 and in clause 9 of [6, TS 38.213].</w:t>
            </w:r>
          </w:p>
        </w:tc>
      </w:tr>
      <w:tr w:rsidR="00133ED4" w14:paraId="626597B3" w14:textId="77777777">
        <w:trPr>
          <w:jc w:val="center"/>
        </w:trPr>
        <w:tc>
          <w:tcPr>
            <w:tcW w:w="2425" w:type="dxa"/>
          </w:tcPr>
          <w:p w14:paraId="52E7C0CD" w14:textId="77777777" w:rsidR="00133ED4" w:rsidRDefault="00FB11EF">
            <w:pPr>
              <w:pStyle w:val="0Maintext"/>
              <w:spacing w:after="120" w:line="240" w:lineRule="auto"/>
              <w:rPr>
                <w:rFonts w:eastAsia="SimSun"/>
                <w:lang w:val="en-US" w:eastAsia="zh-CN"/>
              </w:rPr>
            </w:pPr>
            <w:r>
              <w:rPr>
                <w:rFonts w:eastAsia="SimSun" w:hint="eastAsia"/>
                <w:lang w:val="en-US" w:eastAsia="zh-CN"/>
              </w:rPr>
              <w:t>New H3C</w:t>
            </w:r>
          </w:p>
        </w:tc>
        <w:tc>
          <w:tcPr>
            <w:tcW w:w="6660" w:type="dxa"/>
          </w:tcPr>
          <w:p w14:paraId="1FDC52EA" w14:textId="77777777" w:rsidR="00133ED4" w:rsidRDefault="00FB11EF">
            <w:pPr>
              <w:pStyle w:val="0Maintext"/>
              <w:spacing w:after="120" w:line="240" w:lineRule="auto"/>
              <w:ind w:firstLine="0"/>
              <w:rPr>
                <w:rFonts w:eastAsia="SimSun"/>
                <w:lang w:val="en-US" w:eastAsia="zh-CN"/>
              </w:rPr>
            </w:pPr>
            <w:r>
              <w:rPr>
                <w:rFonts w:eastAsia="SimSun" w:hint="eastAsia"/>
                <w:lang w:val="en-US" w:eastAsia="zh-CN"/>
              </w:rPr>
              <w:t>OK with proposal 1</w:t>
            </w:r>
          </w:p>
        </w:tc>
      </w:tr>
      <w:tr w:rsidR="00133ED4" w14:paraId="6F586CF6" w14:textId="77777777">
        <w:trPr>
          <w:jc w:val="center"/>
        </w:trPr>
        <w:tc>
          <w:tcPr>
            <w:tcW w:w="2425" w:type="dxa"/>
          </w:tcPr>
          <w:p w14:paraId="6E798CCF" w14:textId="6038EA97" w:rsidR="00133ED4" w:rsidRDefault="00FC461E">
            <w:pPr>
              <w:pStyle w:val="0Maintext"/>
              <w:spacing w:after="120" w:line="240" w:lineRule="auto"/>
            </w:pPr>
            <w:r>
              <w:t>Apple2</w:t>
            </w:r>
          </w:p>
        </w:tc>
        <w:tc>
          <w:tcPr>
            <w:tcW w:w="6660" w:type="dxa"/>
          </w:tcPr>
          <w:p w14:paraId="481BD8C9" w14:textId="3D3BE9B7" w:rsidR="00133ED4" w:rsidRDefault="00FC461E">
            <w:pPr>
              <w:pStyle w:val="0Maintext"/>
              <w:spacing w:after="120" w:line="240" w:lineRule="auto"/>
              <w:ind w:firstLine="0"/>
            </w:pPr>
            <w:r>
              <w:t>@Nokia—Thanks for the comments. The issue is indeed related to when “DG-PUSCH cancels a CG-PUSCH”. Let’s consider example in Fig. 1.2 which is based on current specification. Here UL DCI has received late given that UE may have already triggered Tx switch based on CG-PUSCH (that is incorrect UE behaviour, but UE is not given enough time to detect UL DCI before Tx switch is triggered based on CG). We cannot just say DG cancelled CG and thus DG triggers the switch. We have to discuss on cancellation timeline which in this case must be at least N2 symbol before the time UE commits switch based on CG, as shown in Fig. 1.1.</w:t>
            </w:r>
          </w:p>
        </w:tc>
      </w:tr>
      <w:tr w:rsidR="00FA7D3C" w14:paraId="114BB4AF" w14:textId="77777777">
        <w:trPr>
          <w:jc w:val="center"/>
        </w:trPr>
        <w:tc>
          <w:tcPr>
            <w:tcW w:w="2425" w:type="dxa"/>
          </w:tcPr>
          <w:p w14:paraId="2E610757" w14:textId="64BC948F" w:rsidR="00FA7D3C" w:rsidRDefault="00FA7D3C" w:rsidP="00FA7D3C">
            <w:pPr>
              <w:pStyle w:val="0Maintext"/>
              <w:spacing w:after="120" w:line="240" w:lineRule="auto"/>
            </w:pPr>
            <w:r>
              <w:rPr>
                <w:rFonts w:eastAsiaTheme="minorEastAsia" w:hint="eastAsia"/>
                <w:lang w:eastAsia="zh-CN"/>
              </w:rPr>
              <w:t>vivo</w:t>
            </w:r>
          </w:p>
        </w:tc>
        <w:tc>
          <w:tcPr>
            <w:tcW w:w="6660" w:type="dxa"/>
          </w:tcPr>
          <w:p w14:paraId="319C0BB7" w14:textId="77777777" w:rsidR="00FA7D3C" w:rsidRDefault="00FA7D3C" w:rsidP="00FA7D3C">
            <w:pPr>
              <w:pStyle w:val="0Maintext"/>
              <w:spacing w:after="120" w:line="240" w:lineRule="auto"/>
              <w:ind w:firstLine="0"/>
              <w:rPr>
                <w:rFonts w:eastAsiaTheme="minorEastAsia"/>
                <w:lang w:eastAsia="zh-CN"/>
              </w:rPr>
            </w:pPr>
            <w:r>
              <w:rPr>
                <w:rFonts w:eastAsiaTheme="minorEastAsia"/>
                <w:lang w:eastAsia="zh-CN"/>
              </w:rPr>
              <w:t>W</w:t>
            </w:r>
            <w:r>
              <w:rPr>
                <w:rFonts w:eastAsiaTheme="minorEastAsia" w:hint="eastAsia"/>
                <w:lang w:eastAsia="zh-CN"/>
              </w:rPr>
              <w:t xml:space="preserve">e share similar view as DCM, it should be first </w:t>
            </w:r>
            <w:r>
              <w:rPr>
                <w:rFonts w:eastAsiaTheme="minorEastAsia"/>
                <w:lang w:eastAsia="zh-CN"/>
              </w:rPr>
              <w:t>clarified</w:t>
            </w:r>
            <w:r>
              <w:rPr>
                <w:rFonts w:eastAsiaTheme="minorEastAsia" w:hint="eastAsia"/>
                <w:lang w:eastAsia="zh-CN"/>
              </w:rPr>
              <w:t xml:space="preserve"> when DG overrides CG, whether the Tx switching triggered by CG is affected by the DG or not. </w:t>
            </w:r>
          </w:p>
          <w:p w14:paraId="07683BA0" w14:textId="3883CC84" w:rsidR="00FA7D3C" w:rsidRDefault="00D2359C" w:rsidP="00FA7D3C">
            <w:pPr>
              <w:pStyle w:val="0Maintext"/>
              <w:spacing w:after="120" w:line="240" w:lineRule="auto"/>
              <w:ind w:firstLine="0"/>
              <w:rPr>
                <w:rFonts w:eastAsiaTheme="minorEastAsia"/>
                <w:lang w:eastAsia="zh-CN"/>
              </w:rPr>
            </w:pPr>
            <w:r w:rsidRPr="00D2359C">
              <w:rPr>
                <w:rFonts w:eastAsiaTheme="minorEastAsia"/>
                <w:lang w:eastAsia="zh-CN"/>
              </w:rPr>
              <w:t xml:space="preserve">At the cut-off time corresponding to the CG, the UE </w:t>
            </w:r>
            <w:r>
              <w:rPr>
                <w:rFonts w:eastAsiaTheme="minorEastAsia"/>
                <w:lang w:eastAsia="zh-CN"/>
              </w:rPr>
              <w:t>already</w:t>
            </w:r>
            <w:r>
              <w:rPr>
                <w:rFonts w:eastAsiaTheme="minorEastAsia" w:hint="eastAsia"/>
                <w:lang w:eastAsia="zh-CN"/>
              </w:rPr>
              <w:t xml:space="preserve"> </w:t>
            </w:r>
            <w:r w:rsidRPr="00D2359C">
              <w:rPr>
                <w:rFonts w:eastAsiaTheme="minorEastAsia"/>
                <w:lang w:eastAsia="zh-CN"/>
              </w:rPr>
              <w:t>decide</w:t>
            </w:r>
            <w:r>
              <w:rPr>
                <w:rFonts w:eastAsiaTheme="minorEastAsia" w:hint="eastAsia"/>
                <w:lang w:eastAsia="zh-CN"/>
              </w:rPr>
              <w:t>d</w:t>
            </w:r>
            <w:r w:rsidRPr="00D2359C">
              <w:rPr>
                <w:rFonts w:eastAsiaTheme="minorEastAsia"/>
                <w:lang w:eastAsia="zh-CN"/>
              </w:rPr>
              <w:t xml:space="preserve"> to switch based on the CG. Any DG arriving after this cut-off time is not expected to alter the switching decision. Therefore, </w:t>
            </w:r>
            <w:r>
              <w:rPr>
                <w:rFonts w:eastAsiaTheme="minorEastAsia" w:hint="eastAsia"/>
                <w:lang w:eastAsia="zh-CN"/>
              </w:rPr>
              <w:t xml:space="preserve">the DCI in fig 1.2 should not impact the Tx </w:t>
            </w:r>
            <w:r>
              <w:rPr>
                <w:rFonts w:eastAsiaTheme="minorEastAsia" w:hint="eastAsia"/>
                <w:lang w:eastAsia="zh-CN"/>
              </w:rPr>
              <w:lastRenderedPageBreak/>
              <w:t xml:space="preserve">switching. </w:t>
            </w:r>
            <w:r w:rsidR="00FA7D3C" w:rsidRPr="00FA7D3C">
              <w:rPr>
                <w:rFonts w:eastAsiaTheme="minorEastAsia"/>
                <w:lang w:eastAsia="zh-CN"/>
              </w:rPr>
              <w:t xml:space="preserve">If Tx switching is </w:t>
            </w:r>
            <w:r w:rsidR="003C22B5">
              <w:rPr>
                <w:rFonts w:eastAsiaTheme="minorEastAsia" w:hint="eastAsia"/>
                <w:lang w:eastAsia="zh-CN"/>
              </w:rPr>
              <w:t xml:space="preserve">not </w:t>
            </w:r>
            <w:r w:rsidR="00FA7D3C" w:rsidRPr="00FA7D3C">
              <w:rPr>
                <w:rFonts w:eastAsiaTheme="minorEastAsia"/>
                <w:lang w:eastAsia="zh-CN"/>
              </w:rPr>
              <w:t xml:space="preserve">affected by the </w:t>
            </w:r>
            <w:r>
              <w:rPr>
                <w:rFonts w:eastAsiaTheme="minorEastAsia" w:hint="eastAsia"/>
                <w:lang w:eastAsia="zh-CN"/>
              </w:rPr>
              <w:t xml:space="preserve">DG </w:t>
            </w:r>
            <w:r w:rsidR="00FA7D3C" w:rsidRPr="00FA7D3C">
              <w:rPr>
                <w:rFonts w:eastAsiaTheme="minorEastAsia"/>
                <w:lang w:eastAsia="zh-CN"/>
              </w:rPr>
              <w:t xml:space="preserve">overriding </w:t>
            </w:r>
            <w:r>
              <w:rPr>
                <w:rFonts w:eastAsiaTheme="minorEastAsia" w:hint="eastAsia"/>
                <w:lang w:eastAsia="zh-CN"/>
              </w:rPr>
              <w:t>CG</w:t>
            </w:r>
            <w:r w:rsidR="00FA7D3C" w:rsidRPr="00FA7D3C">
              <w:rPr>
                <w:rFonts w:eastAsiaTheme="minorEastAsia"/>
                <w:lang w:eastAsia="zh-CN"/>
              </w:rPr>
              <w:t>, the UE will complete the switch just before the CG, as shown in Fig 1.2</w:t>
            </w:r>
            <w:r>
              <w:rPr>
                <w:rFonts w:eastAsiaTheme="minorEastAsia" w:hint="eastAsia"/>
                <w:lang w:eastAsia="zh-CN"/>
              </w:rPr>
              <w:t xml:space="preserve">, </w:t>
            </w:r>
            <w:r w:rsidR="003C22B5">
              <w:rPr>
                <w:rFonts w:eastAsiaTheme="minorEastAsia" w:hint="eastAsia"/>
                <w:lang w:eastAsia="zh-CN"/>
              </w:rPr>
              <w:t>w</w:t>
            </w:r>
            <w:r w:rsidR="00FA7D3C">
              <w:rPr>
                <w:rFonts w:eastAsiaTheme="minorEastAsia" w:hint="eastAsia"/>
                <w:lang w:eastAsia="zh-CN"/>
              </w:rPr>
              <w:t xml:space="preserve">e </w:t>
            </w:r>
            <w:r w:rsidR="00BF66E6">
              <w:rPr>
                <w:rFonts w:eastAsiaTheme="minorEastAsia"/>
                <w:lang w:eastAsia="zh-CN"/>
              </w:rPr>
              <w:t>disagree</w:t>
            </w:r>
            <w:r w:rsidR="00BF66E6">
              <w:rPr>
                <w:rFonts w:eastAsiaTheme="minorEastAsia" w:hint="eastAsia"/>
                <w:lang w:eastAsia="zh-CN"/>
              </w:rPr>
              <w:t xml:space="preserve"> with apple2 </w:t>
            </w:r>
            <w:r w:rsidR="00FA7D3C">
              <w:rPr>
                <w:rFonts w:eastAsiaTheme="minorEastAsia" w:hint="eastAsia"/>
                <w:lang w:eastAsia="zh-CN"/>
              </w:rPr>
              <w:t xml:space="preserve">this is incorrect UE </w:t>
            </w:r>
            <w:r>
              <w:rPr>
                <w:rFonts w:eastAsiaTheme="minorEastAsia"/>
                <w:lang w:eastAsia="zh-CN"/>
              </w:rPr>
              <w:t xml:space="preserve">behaviour, </w:t>
            </w:r>
            <w:r w:rsidRPr="00FA7D3C">
              <w:t>this</w:t>
            </w:r>
            <w:r w:rsidR="00DA0B80">
              <w:rPr>
                <w:rFonts w:eastAsiaTheme="minorEastAsia" w:hint="eastAsia"/>
                <w:lang w:eastAsia="zh-CN"/>
              </w:rPr>
              <w:t xml:space="preserve"> still</w:t>
            </w:r>
            <w:r w:rsidR="00FA7D3C" w:rsidRPr="00FA7D3C">
              <w:t xml:space="preserve"> aligns with the specifications defined in section 6.1.6</w:t>
            </w:r>
            <w:r w:rsidR="00900099">
              <w:rPr>
                <w:rFonts w:eastAsiaTheme="minorEastAsia" w:hint="eastAsia"/>
                <w:lang w:eastAsia="zh-CN"/>
              </w:rPr>
              <w:t xml:space="preserve"> for TX switching</w:t>
            </w:r>
            <w:r>
              <w:rPr>
                <w:rFonts w:eastAsiaTheme="minorEastAsia" w:hint="eastAsia"/>
                <w:lang w:eastAsia="zh-CN"/>
              </w:rPr>
              <w:t xml:space="preserve">. </w:t>
            </w:r>
          </w:p>
          <w:p w14:paraId="5B637350" w14:textId="75473891" w:rsidR="00D2359C" w:rsidRPr="00D2359C" w:rsidRDefault="00D2359C" w:rsidP="00D2359C">
            <w:pPr>
              <w:pStyle w:val="0Maintext"/>
              <w:spacing w:after="120" w:line="240" w:lineRule="auto"/>
              <w:ind w:firstLine="0"/>
              <w:rPr>
                <w:rFonts w:eastAsiaTheme="minorEastAsia"/>
                <w:lang w:eastAsia="zh-CN"/>
              </w:rPr>
            </w:pPr>
            <w:r w:rsidRPr="00D2359C">
              <w:rPr>
                <w:rFonts w:eastAsiaTheme="minorEastAsia"/>
                <w:lang w:eastAsia="zh-CN"/>
              </w:rPr>
              <w:t>Even if switching can be impacted by DG cancellation, this would mean that the DG triggers a new Tx switching event. In this case, the rules in section 6.1.6 still apply, and Tswitch must be included.</w:t>
            </w:r>
          </w:p>
        </w:tc>
      </w:tr>
      <w:tr w:rsidR="00666EBE" w14:paraId="061507F3" w14:textId="77777777">
        <w:trPr>
          <w:jc w:val="center"/>
        </w:trPr>
        <w:tc>
          <w:tcPr>
            <w:tcW w:w="2425" w:type="dxa"/>
          </w:tcPr>
          <w:p w14:paraId="557BE62C" w14:textId="5787B7F2" w:rsidR="00666EBE" w:rsidRPr="00666EBE" w:rsidRDefault="00666EBE" w:rsidP="00666EBE">
            <w:pPr>
              <w:pStyle w:val="0Maintext"/>
              <w:spacing w:after="120" w:line="240" w:lineRule="auto"/>
              <w:rPr>
                <w:rFonts w:eastAsiaTheme="minorEastAsia"/>
                <w:lang w:val="en-US" w:eastAsia="zh-CN"/>
              </w:rPr>
            </w:pPr>
            <w:r>
              <w:rPr>
                <w:rFonts w:eastAsia="Malgun Gothic" w:hint="eastAsia"/>
                <w:lang w:eastAsia="ko-KR"/>
              </w:rPr>
              <w:lastRenderedPageBreak/>
              <w:t>Samsung</w:t>
            </w:r>
          </w:p>
        </w:tc>
        <w:tc>
          <w:tcPr>
            <w:tcW w:w="6660" w:type="dxa"/>
          </w:tcPr>
          <w:p w14:paraId="0CA8AE56" w14:textId="77777777" w:rsidR="00666EBE" w:rsidRPr="00666EBE" w:rsidRDefault="00666EBE" w:rsidP="00666EBE">
            <w:pPr>
              <w:rPr>
                <w:rFonts w:eastAsiaTheme="minorEastAsia" w:cs="Batang"/>
                <w:sz w:val="20"/>
                <w:szCs w:val="20"/>
                <w:lang w:val="en-GB"/>
              </w:rPr>
            </w:pPr>
            <w:r w:rsidRPr="00666EBE">
              <w:rPr>
                <w:rFonts w:eastAsiaTheme="minorEastAsia" w:cs="Batang"/>
                <w:sz w:val="20"/>
                <w:szCs w:val="20"/>
                <w:lang w:val="en-GB"/>
              </w:rPr>
              <w:t>First, this issue is only relevant when Tx switching is configured for CG PUSCH. If Tx switching is configured for DG PUSCH, the issue is not applicable.</w:t>
            </w:r>
          </w:p>
          <w:p w14:paraId="3E34D08A" w14:textId="38D5E7EC" w:rsidR="00666EBE" w:rsidRPr="00666EBE" w:rsidRDefault="00666EBE" w:rsidP="00666EBE">
            <w:pPr>
              <w:rPr>
                <w:rFonts w:eastAsia="Malgun Gothic" w:cs="Batang"/>
                <w:sz w:val="20"/>
                <w:szCs w:val="20"/>
                <w:lang w:val="en-GB" w:eastAsia="ko-KR"/>
              </w:rPr>
            </w:pPr>
            <w:r w:rsidRPr="00666EBE">
              <w:rPr>
                <w:rFonts w:eastAsiaTheme="minorEastAsia" w:cs="Batang" w:hint="eastAsia"/>
                <w:sz w:val="20"/>
                <w:szCs w:val="20"/>
                <w:lang w:val="en-GB"/>
              </w:rPr>
              <w:t>O</w:t>
            </w:r>
            <w:r w:rsidRPr="00666EBE">
              <w:rPr>
                <w:rFonts w:eastAsiaTheme="minorEastAsia" w:cs="Batang"/>
                <w:sz w:val="20"/>
                <w:szCs w:val="20"/>
                <w:lang w:val="en-GB"/>
              </w:rPr>
              <w:t>ur understanding is that, in this case, the first step should be to clarify the impact on the victim carrier if the Tx switching for CG PUSCH is still performed even though the CG PUSCH transmission has been canceled.</w:t>
            </w:r>
            <w:r>
              <w:rPr>
                <w:rFonts w:eastAsia="Malgun Gothic" w:cs="Batang" w:hint="eastAsia"/>
                <w:sz w:val="20"/>
                <w:szCs w:val="20"/>
                <w:lang w:val="en-GB" w:eastAsia="ko-KR"/>
              </w:rPr>
              <w:t xml:space="preserve"> For now, we don</w:t>
            </w:r>
            <w:r>
              <w:rPr>
                <w:rFonts w:eastAsia="Malgun Gothic" w:cs="Batang"/>
                <w:sz w:val="20"/>
                <w:szCs w:val="20"/>
                <w:lang w:val="en-GB" w:eastAsia="ko-KR"/>
              </w:rPr>
              <w:t>’</w:t>
            </w:r>
            <w:r>
              <w:rPr>
                <w:rFonts w:eastAsia="Malgun Gothic" w:cs="Batang" w:hint="eastAsia"/>
                <w:sz w:val="20"/>
                <w:szCs w:val="20"/>
                <w:lang w:val="en-GB" w:eastAsia="ko-KR"/>
              </w:rPr>
              <w:t>t see this as an incorrect UE behavior.</w:t>
            </w:r>
          </w:p>
          <w:p w14:paraId="0B3119EC" w14:textId="77777777" w:rsidR="00666EBE" w:rsidRPr="00666EBE" w:rsidRDefault="00666EBE" w:rsidP="00666EBE">
            <w:pPr>
              <w:rPr>
                <w:rFonts w:eastAsiaTheme="minorEastAsia" w:cs="Batang"/>
                <w:sz w:val="20"/>
                <w:szCs w:val="20"/>
                <w:lang w:val="en-GB"/>
              </w:rPr>
            </w:pPr>
          </w:p>
          <w:p w14:paraId="0D3A066C" w14:textId="75BC39C3" w:rsidR="00666EBE" w:rsidRDefault="00666EBE" w:rsidP="00666EBE">
            <w:pPr>
              <w:pStyle w:val="0Maintext"/>
              <w:spacing w:after="120" w:line="240" w:lineRule="auto"/>
              <w:ind w:firstLine="0"/>
              <w:rPr>
                <w:rFonts w:eastAsiaTheme="minorEastAsia"/>
                <w:lang w:eastAsia="zh-CN"/>
              </w:rPr>
            </w:pPr>
            <w:r w:rsidRPr="00666EBE">
              <w:rPr>
                <w:rFonts w:eastAsiaTheme="minorEastAsia"/>
                <w:lang w:eastAsia="zh-CN"/>
              </w:rPr>
              <w:t>Furthermore, considering that the overlap between CG PUSCH and DG PUSCH is infrequent and the actual length of Toffset is up to around 210 us</w:t>
            </w:r>
            <w:r w:rsidRPr="00666EBE">
              <w:rPr>
                <w:rFonts w:eastAsiaTheme="minorEastAsia" w:hint="eastAsia"/>
                <w:lang w:eastAsia="zh-CN"/>
              </w:rPr>
              <w:t xml:space="preserve"> based on 38.133</w:t>
            </w:r>
            <w:r w:rsidRPr="00666EBE">
              <w:rPr>
                <w:rFonts w:eastAsiaTheme="minorEastAsia"/>
                <w:lang w:eastAsia="zh-CN"/>
              </w:rPr>
              <w:t>, we find it difficult to see the motivation for a spec change specifically for this</w:t>
            </w:r>
            <w:r w:rsidRPr="00666EBE">
              <w:rPr>
                <w:rFonts w:eastAsiaTheme="minorEastAsia" w:hint="eastAsia"/>
                <w:lang w:eastAsia="zh-CN"/>
              </w:rPr>
              <w:t xml:space="preserve"> matter.</w:t>
            </w:r>
          </w:p>
        </w:tc>
      </w:tr>
      <w:tr w:rsidR="002D5A4C" w14:paraId="1FD6947C" w14:textId="77777777">
        <w:trPr>
          <w:jc w:val="center"/>
        </w:trPr>
        <w:tc>
          <w:tcPr>
            <w:tcW w:w="2425" w:type="dxa"/>
          </w:tcPr>
          <w:p w14:paraId="07A704C9" w14:textId="252B0137" w:rsidR="002D5A4C" w:rsidRDefault="002D5A4C" w:rsidP="00666EBE">
            <w:pPr>
              <w:pStyle w:val="0Maintext"/>
              <w:spacing w:after="120" w:line="240" w:lineRule="auto"/>
              <w:rPr>
                <w:rFonts w:eastAsia="Malgun Gothic"/>
                <w:lang w:eastAsia="ko-KR"/>
              </w:rPr>
            </w:pPr>
            <w:r>
              <w:rPr>
                <w:rFonts w:eastAsia="Malgun Gothic"/>
                <w:lang w:eastAsia="ko-KR"/>
              </w:rPr>
              <w:t xml:space="preserve">Huawei, </w:t>
            </w:r>
            <w:r w:rsidR="00D20CD5">
              <w:rPr>
                <w:rFonts w:eastAsia="Malgun Gothic"/>
                <w:lang w:eastAsia="ko-KR"/>
              </w:rPr>
              <w:t>HiSilicon</w:t>
            </w:r>
          </w:p>
        </w:tc>
        <w:tc>
          <w:tcPr>
            <w:tcW w:w="6660" w:type="dxa"/>
          </w:tcPr>
          <w:p w14:paraId="70866CE7" w14:textId="2E1DE42B" w:rsidR="002D5A4C" w:rsidRDefault="00D20CD5" w:rsidP="00666EBE">
            <w:pPr>
              <w:rPr>
                <w:rFonts w:eastAsiaTheme="minorEastAsia" w:cs="Batang"/>
                <w:sz w:val="20"/>
                <w:szCs w:val="20"/>
              </w:rPr>
            </w:pPr>
            <w:r>
              <w:rPr>
                <w:rFonts w:eastAsiaTheme="minorEastAsia" w:cs="Batang"/>
                <w:sz w:val="20"/>
                <w:szCs w:val="20"/>
              </w:rPr>
              <w:t xml:space="preserve">We are open to the discussion. </w:t>
            </w:r>
          </w:p>
          <w:p w14:paraId="4BC717AB" w14:textId="25C8D0D5" w:rsidR="00637B2A" w:rsidRDefault="00637B2A" w:rsidP="00666EBE">
            <w:pPr>
              <w:rPr>
                <w:rFonts w:eastAsiaTheme="minorEastAsia" w:cs="Batang"/>
                <w:sz w:val="20"/>
                <w:szCs w:val="20"/>
              </w:rPr>
            </w:pPr>
            <w:r>
              <w:rPr>
                <w:rFonts w:eastAsiaTheme="minorEastAsia" w:cs="Batang"/>
                <w:sz w:val="20"/>
                <w:szCs w:val="20"/>
              </w:rPr>
              <w:t>Regarding DCM’s question, the exact time location of UL Tx switching does not have to be right before the UL transmission because the exact time location of UL Tx switching is not specified unless the scheduled gap between switch-from and switch-to UL transmissions is not sufficiently large according to previous RAN1 discussion and RAN4 discussions.</w:t>
            </w:r>
          </w:p>
          <w:p w14:paraId="1595DDED" w14:textId="77777777" w:rsidR="00637B2A" w:rsidRDefault="00637B2A" w:rsidP="00666EBE">
            <w:pPr>
              <w:rPr>
                <w:rFonts w:eastAsiaTheme="minorEastAsia" w:cs="Batang"/>
                <w:sz w:val="20"/>
                <w:szCs w:val="20"/>
              </w:rPr>
            </w:pPr>
          </w:p>
          <w:p w14:paraId="17E5DDE3" w14:textId="521F4F08" w:rsidR="00D20CD5" w:rsidRDefault="00D20CD5" w:rsidP="00666EBE">
            <w:pPr>
              <w:rPr>
                <w:rFonts w:eastAsiaTheme="minorEastAsia" w:cs="Batang"/>
                <w:sz w:val="20"/>
                <w:szCs w:val="20"/>
              </w:rPr>
            </w:pPr>
            <w:r>
              <w:rPr>
                <w:rFonts w:eastAsiaTheme="minorEastAsia" w:cs="Batang"/>
                <w:sz w:val="20"/>
                <w:szCs w:val="20"/>
              </w:rPr>
              <w:t>Regarding proponent’s comment “</w:t>
            </w:r>
            <w:r w:rsidRPr="00D20CD5">
              <w:rPr>
                <w:rFonts w:eastAsiaTheme="minorEastAsia" w:cs="Batang"/>
                <w:sz w:val="20"/>
                <w:szCs w:val="20"/>
              </w:rPr>
              <w:t>2) if the switch to carrier is configured to be victim, UE may unnecessarily impact UL transmission on victim.</w:t>
            </w:r>
            <w:r>
              <w:rPr>
                <w:rFonts w:eastAsiaTheme="minorEastAsia" w:cs="Batang"/>
                <w:sz w:val="20"/>
                <w:szCs w:val="20"/>
              </w:rPr>
              <w:t xml:space="preserve">”, in this case, there seems no issue because the interrupted UL transmission on victim carrier is the CG-PUSCH and it is cancelled anyway. If it means that switch-from carrier is configured as victim carrier, </w:t>
            </w:r>
            <w:r w:rsidR="00B2058E">
              <w:rPr>
                <w:rFonts w:eastAsiaTheme="minorEastAsia" w:cs="Batang"/>
                <w:sz w:val="20"/>
                <w:szCs w:val="20"/>
              </w:rPr>
              <w:t xml:space="preserve">there seems no issue neither because CG-PUSCH is semi-static configured transmission and the interrupted UL transmission on the switch-from carrier is predictable for a gNB before the scheduling decision for the victim carrier is made. There seems no ambiguity. Could you please clarify </w:t>
            </w:r>
            <w:r w:rsidR="002442FC">
              <w:rPr>
                <w:rFonts w:eastAsiaTheme="minorEastAsia" w:cs="Batang"/>
                <w:sz w:val="20"/>
                <w:szCs w:val="20"/>
              </w:rPr>
              <w:t>the issue with respect to victim carrier?</w:t>
            </w:r>
          </w:p>
          <w:p w14:paraId="2D6F3F27" w14:textId="74DF1B0E" w:rsidR="00D20CD5" w:rsidRPr="00D20CD5" w:rsidRDefault="00D20CD5" w:rsidP="00637B2A">
            <w:pPr>
              <w:jc w:val="both"/>
              <w:rPr>
                <w:rFonts w:eastAsiaTheme="minorEastAsia" w:cs="Batang"/>
                <w:sz w:val="20"/>
                <w:szCs w:val="20"/>
              </w:rPr>
            </w:pPr>
          </w:p>
        </w:tc>
      </w:tr>
    </w:tbl>
    <w:p w14:paraId="2E590052" w14:textId="77777777" w:rsidR="00133ED4" w:rsidRDefault="00133ED4">
      <w:pPr>
        <w:pStyle w:val="0Maintext"/>
        <w:spacing w:after="120" w:afterAutospacing="0" w:line="240" w:lineRule="auto"/>
        <w:ind w:firstLine="0"/>
        <w:rPr>
          <w:lang w:val="en-US" w:eastAsia="zh-CN"/>
        </w:rPr>
      </w:pPr>
    </w:p>
    <w:p w14:paraId="276E1372" w14:textId="77777777" w:rsidR="00133ED4" w:rsidRDefault="00133ED4">
      <w:pPr>
        <w:pStyle w:val="0Maintext"/>
        <w:spacing w:after="0" w:afterAutospacing="0" w:line="240" w:lineRule="auto"/>
        <w:ind w:firstLine="0"/>
        <w:rPr>
          <w:b/>
          <w:bCs/>
        </w:rPr>
      </w:pPr>
    </w:p>
    <w:p w14:paraId="44ECC518" w14:textId="77777777" w:rsidR="00133ED4" w:rsidRDefault="00FB11EF">
      <w:pPr>
        <w:pStyle w:val="0Maintext"/>
        <w:spacing w:after="0" w:afterAutospacing="0" w:line="240" w:lineRule="auto"/>
        <w:ind w:firstLine="0"/>
        <w:rPr>
          <w:b/>
          <w:bCs/>
        </w:rPr>
      </w:pPr>
      <w:r>
        <w:rPr>
          <w:b/>
          <w:bCs/>
        </w:rPr>
        <w:t xml:space="preserve">Proposal 2: </w:t>
      </w:r>
      <w:r>
        <w:rPr>
          <w:b/>
          <w:bCs/>
          <w:lang w:val="en-US"/>
        </w:rPr>
        <w:t xml:space="preserve">Agree with the following TP to capture the above discussion. </w:t>
      </w:r>
    </w:p>
    <w:tbl>
      <w:tblPr>
        <w:tblStyle w:val="TableGrid"/>
        <w:tblpPr w:leftFromText="180" w:rightFromText="180" w:vertAnchor="text" w:horzAnchor="margin" w:tblpY="128"/>
        <w:tblW w:w="9288" w:type="dxa"/>
        <w:tblLayout w:type="fixed"/>
        <w:tblLook w:val="04A0" w:firstRow="1" w:lastRow="0" w:firstColumn="1" w:lastColumn="0" w:noHBand="0" w:noVBand="1"/>
      </w:tblPr>
      <w:tblGrid>
        <w:gridCol w:w="9288"/>
      </w:tblGrid>
      <w:tr w:rsidR="00133ED4" w14:paraId="2C43CB9A" w14:textId="77777777">
        <w:tc>
          <w:tcPr>
            <w:tcW w:w="9288" w:type="dxa"/>
          </w:tcPr>
          <w:p w14:paraId="4A520AE7" w14:textId="77777777" w:rsidR="00133ED4" w:rsidRDefault="00FB11EF">
            <w:pPr>
              <w:keepNext/>
              <w:spacing w:before="120"/>
              <w:outlineLvl w:val="3"/>
              <w:rPr>
                <w:rFonts w:ascii="Arial" w:eastAsia="Arial" w:hAnsi="Arial"/>
                <w:color w:val="000000"/>
                <w:sz w:val="20"/>
                <w:szCs w:val="20"/>
              </w:rPr>
            </w:pPr>
            <w:r>
              <w:rPr>
                <w:rFonts w:ascii="Arial" w:eastAsia="Arial" w:hAnsi="Arial"/>
                <w:color w:val="000000"/>
                <w:sz w:val="20"/>
                <w:szCs w:val="20"/>
              </w:rPr>
              <w:t>6.1</w:t>
            </w:r>
            <w:r>
              <w:rPr>
                <w:rFonts w:ascii="Arial" w:eastAsia="Arial" w:hAnsi="Arial"/>
                <w:color w:val="000000"/>
                <w:sz w:val="20"/>
                <w:szCs w:val="20"/>
              </w:rPr>
              <w:tab/>
              <w:t>UE procedure for transmitting the physical uplink shared channel</w:t>
            </w:r>
          </w:p>
          <w:p w14:paraId="487909F2" w14:textId="77777777" w:rsidR="00133ED4" w:rsidRDefault="00FB11EF">
            <w:pPr>
              <w:jc w:val="both"/>
              <w:rPr>
                <w:rFonts w:eastAsia="SimSun"/>
                <w:sz w:val="20"/>
                <w:szCs w:val="20"/>
              </w:rPr>
            </w:pPr>
            <w:r>
              <w:rPr>
                <w:rFonts w:eastAsia="SimSun"/>
                <w:sz w:val="20"/>
                <w:szCs w:val="20"/>
              </w:rPr>
              <w:t>…</w:t>
            </w:r>
            <w:r>
              <w:rPr>
                <w:rFonts w:eastAsia="SimSun" w:hint="eastAsia"/>
                <w:sz w:val="20"/>
                <w:szCs w:val="20"/>
              </w:rPr>
              <w:t>.</w:t>
            </w:r>
          </w:p>
          <w:p w14:paraId="667F746F" w14:textId="77777777" w:rsidR="00133ED4" w:rsidRDefault="00FB11EF">
            <w:pPr>
              <w:rPr>
                <w:sz w:val="20"/>
                <w:szCs w:val="20"/>
              </w:rPr>
            </w:pPr>
            <w:r>
              <w:rPr>
                <w:sz w:val="20"/>
                <w:szCs w:val="20"/>
              </w:rPr>
              <w:t xml:space="preserve">A UE is not expected to be scheduled by a PDCCH ending in symbol </w:t>
            </w:r>
            <m:oMath>
              <m:r>
                <w:rPr>
                  <w:rFonts w:ascii="Cambria Math" w:hAnsi="Cambria Math"/>
                  <w:sz w:val="20"/>
                  <w:szCs w:val="20"/>
                </w:rPr>
                <m:t>i</m:t>
              </m:r>
            </m:oMath>
            <w:r>
              <w:rPr>
                <w:sz w:val="20"/>
                <w:szCs w:val="20"/>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sz w:val="20"/>
                  <w:szCs w:val="20"/>
                </w:rPr>
                <m:t>j</m:t>
              </m:r>
            </m:oMath>
            <w:r>
              <w:rPr>
                <w:sz w:val="20"/>
                <w:szCs w:val="20"/>
              </w:rPr>
              <w:t xml:space="preserve"> on the same serving cell if the end of symbol </w:t>
            </w:r>
            <m:oMath>
              <m:r>
                <w:rPr>
                  <w:rFonts w:ascii="Cambria Math" w:hAnsi="Cambria Math"/>
                  <w:sz w:val="20"/>
                  <w:szCs w:val="20"/>
                </w:rPr>
                <m:t>i</m:t>
              </m:r>
            </m:oMath>
            <w:r>
              <w:rPr>
                <w:sz w:val="20"/>
                <w:szCs w:val="20"/>
              </w:rPr>
              <w:t xml:space="preserve"> is not at least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Pr>
                <w:sz w:val="20"/>
                <w:szCs w:val="20"/>
              </w:rPr>
              <w:t xml:space="preserve"> symbols </w:t>
            </w:r>
            <w:r>
              <w:rPr>
                <w:color w:val="FF0000"/>
                <w:sz w:val="20"/>
                <w:szCs w:val="20"/>
              </w:rPr>
              <w:t>+</w:t>
            </w:r>
            <w:r>
              <w:rPr>
                <w:i/>
                <w:iCs/>
                <w:color w:val="FF0000"/>
                <w:sz w:val="20"/>
                <w:szCs w:val="20"/>
              </w:rPr>
              <w:t>T</w:t>
            </w:r>
            <w:r>
              <w:rPr>
                <w:i/>
                <w:iCs/>
                <w:color w:val="FF0000"/>
                <w:sz w:val="20"/>
                <w:szCs w:val="20"/>
                <w:vertAlign w:val="subscript"/>
              </w:rPr>
              <w:t>switch</w:t>
            </w:r>
            <w:r>
              <w:rPr>
                <w:color w:val="FF0000"/>
                <w:sz w:val="20"/>
                <w:szCs w:val="20"/>
              </w:rPr>
              <w:t xml:space="preserve">, </w:t>
            </w:r>
            <w:r>
              <w:rPr>
                <w:sz w:val="20"/>
                <w:szCs w:val="20"/>
              </w:rPr>
              <w:t xml:space="preserve">before the beginning of symbol </w:t>
            </w:r>
            <m:oMath>
              <m:r>
                <w:rPr>
                  <w:rFonts w:ascii="Cambria Math" w:hAnsi="Cambria Math"/>
                  <w:sz w:val="20"/>
                  <w:szCs w:val="20"/>
                </w:rPr>
                <m:t>j</m:t>
              </m:r>
            </m:oMath>
            <w:r>
              <w:rPr>
                <w:sz w:val="20"/>
                <w:szCs w:val="20"/>
              </w:rPr>
              <w:t xml:space="preserve">.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Pr>
                <w:sz w:val="20"/>
                <w:szCs w:val="20"/>
              </w:rPr>
              <w:t xml:space="preserve"> in symbols is determined according to the UE processing capability defined in Clause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Pr>
                <w:sz w:val="20"/>
                <w:szCs w:val="20"/>
              </w:rPr>
              <w:t xml:space="preserve">and the symbol duration are based on the minimum of the subcarrier spacing corresponding to the PUSCH with configured grant and the subcarrier spacing of the PDCCH scheduling the PUSCH. </w:t>
            </w:r>
            <w:r>
              <w:rPr>
                <w:color w:val="FF0000"/>
                <w:sz w:val="20"/>
                <w:szCs w:val="20"/>
              </w:rPr>
              <w:t xml:space="preserve">The value </w:t>
            </w:r>
            <w:r>
              <w:rPr>
                <w:i/>
                <w:iCs/>
                <w:color w:val="FF0000"/>
                <w:sz w:val="20"/>
                <w:szCs w:val="20"/>
              </w:rPr>
              <w:t>T</w:t>
            </w:r>
            <w:r>
              <w:rPr>
                <w:i/>
                <w:iCs/>
                <w:color w:val="FF0000"/>
                <w:sz w:val="20"/>
                <w:szCs w:val="20"/>
                <w:vertAlign w:val="subscript"/>
              </w:rPr>
              <w:t>switch</w:t>
            </w:r>
            <w:r>
              <w:rPr>
                <w:color w:val="FF0000"/>
                <w:sz w:val="20"/>
                <w:szCs w:val="20"/>
              </w:rPr>
              <w:t> is defined in Clause 6.4.</w:t>
            </w:r>
          </w:p>
          <w:p w14:paraId="42A2B944" w14:textId="77777777" w:rsidR="00133ED4" w:rsidRDefault="00FB11EF">
            <w:pPr>
              <w:rPr>
                <w:sz w:val="20"/>
                <w:szCs w:val="20"/>
              </w:rPr>
            </w:pPr>
            <w:r>
              <w:rPr>
                <w:sz w:val="20"/>
                <w:szCs w:val="20"/>
              </w:rPr>
              <w:t>…</w:t>
            </w:r>
          </w:p>
          <w:p w14:paraId="77AA319A" w14:textId="77777777" w:rsidR="00133ED4" w:rsidRDefault="00133ED4">
            <w:pPr>
              <w:rPr>
                <w:sz w:val="20"/>
                <w:szCs w:val="20"/>
              </w:rPr>
            </w:pPr>
          </w:p>
          <w:p w14:paraId="573DE139" w14:textId="77777777" w:rsidR="00133ED4" w:rsidRDefault="00FB11EF">
            <w:pPr>
              <w:rPr>
                <w:sz w:val="20"/>
                <w:szCs w:val="20"/>
              </w:rPr>
            </w:pPr>
            <w:r>
              <w:rPr>
                <w:sz w:val="20"/>
                <w:szCs w:val="20"/>
              </w:rPr>
              <w:t xml:space="preserve">A UE is not expected to be scheduled by a PDCCH ending in symbol </w:t>
            </w:r>
            <m:oMath>
              <m:r>
                <w:rPr>
                  <w:rFonts w:ascii="Cambria Math" w:hAnsi="Cambria Math"/>
                  <w:sz w:val="20"/>
                  <w:szCs w:val="20"/>
                </w:rPr>
                <m:t>i</m:t>
              </m:r>
            </m:oMath>
            <w:r>
              <w:rPr>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Pr>
                <w:sz w:val="20"/>
                <w:szCs w:val="20"/>
              </w:rPr>
              <w:t xml:space="preserve"> after symbol </w:t>
            </w:r>
            <m:oMath>
              <m:r>
                <w:rPr>
                  <w:rFonts w:ascii="Cambria Math" w:hAnsi="Cambria Math"/>
                  <w:sz w:val="20"/>
                  <w:szCs w:val="20"/>
                </w:rPr>
                <m:t>i</m:t>
              </m:r>
            </m:oMath>
            <w:r>
              <w:rPr>
                <w:sz w:val="20"/>
                <w:szCs w:val="20"/>
              </w:rPr>
              <w:t xml:space="preserve">, and if the gap between the end of PDCCH and the beginning of symbol </w:t>
            </w:r>
            <m:oMath>
              <m:r>
                <w:rPr>
                  <w:rFonts w:ascii="Cambria Math" w:hAnsi="Cambria Math"/>
                  <w:sz w:val="20"/>
                  <w:szCs w:val="20"/>
                </w:rPr>
                <m:t>j</m:t>
              </m:r>
            </m:oMath>
            <w:r>
              <w:rPr>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Pr>
                <w:sz w:val="20"/>
                <w:szCs w:val="20"/>
              </w:rPr>
              <w:t xml:space="preserve"> symbols </w:t>
            </w:r>
            <w:r>
              <w:rPr>
                <w:color w:val="FF0000"/>
                <w:sz w:val="20"/>
                <w:szCs w:val="20"/>
              </w:rPr>
              <w:t>+</w:t>
            </w:r>
            <w:r>
              <w:rPr>
                <w:i/>
                <w:iCs/>
                <w:color w:val="FF0000"/>
                <w:sz w:val="20"/>
                <w:szCs w:val="20"/>
              </w:rPr>
              <w:t>T</w:t>
            </w:r>
            <w:r>
              <w:rPr>
                <w:i/>
                <w:iCs/>
                <w:color w:val="FF0000"/>
                <w:sz w:val="20"/>
                <w:szCs w:val="20"/>
                <w:vertAlign w:val="subscript"/>
              </w:rPr>
              <w:t>switch</w:t>
            </w:r>
            <w:r>
              <w:rPr>
                <w:sz w:val="20"/>
                <w:szCs w:val="20"/>
              </w:rPr>
              <w:t xml:space="preserve">.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Pr>
                <w:sz w:val="20"/>
                <w:szCs w:val="20"/>
              </w:rPr>
              <w:t xml:space="preserve"> in symbols is determined according to the UE processing capability defined in Clause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Pr>
                <w:sz w:val="20"/>
                <w:szCs w:val="20"/>
              </w:rPr>
              <w:t xml:space="preserve">and the symbol duration are based on the minimum of the subcarrier spacing </w:t>
            </w:r>
            <w:r>
              <w:rPr>
                <w:sz w:val="20"/>
                <w:szCs w:val="20"/>
              </w:rPr>
              <w:lastRenderedPageBreak/>
              <w:t xml:space="preserve">corresponding to the PUSCH with configured grant and the subcarrier spacing of the PDCCH scheduling the PUSCH. </w:t>
            </w:r>
            <w:r>
              <w:rPr>
                <w:color w:val="FF0000"/>
                <w:sz w:val="20"/>
                <w:szCs w:val="20"/>
              </w:rPr>
              <w:t xml:space="preserve">The value </w:t>
            </w:r>
            <w:r>
              <w:rPr>
                <w:i/>
                <w:iCs/>
                <w:color w:val="FF0000"/>
                <w:sz w:val="20"/>
                <w:szCs w:val="20"/>
              </w:rPr>
              <w:t>T</w:t>
            </w:r>
            <w:r>
              <w:rPr>
                <w:i/>
                <w:iCs/>
                <w:color w:val="FF0000"/>
                <w:sz w:val="20"/>
                <w:szCs w:val="20"/>
                <w:vertAlign w:val="subscript"/>
              </w:rPr>
              <w:t>switch</w:t>
            </w:r>
            <w:r>
              <w:rPr>
                <w:color w:val="FF0000"/>
                <w:sz w:val="20"/>
                <w:szCs w:val="20"/>
              </w:rPr>
              <w:t> is defined in Clause 6.4.</w:t>
            </w:r>
          </w:p>
          <w:p w14:paraId="7BF62058" w14:textId="77777777" w:rsidR="00133ED4" w:rsidRDefault="00FB11EF">
            <w:pPr>
              <w:jc w:val="both"/>
              <w:rPr>
                <w:rFonts w:eastAsiaTheme="minorEastAsia"/>
              </w:rPr>
            </w:pPr>
            <w:r>
              <w:rPr>
                <w:sz w:val="20"/>
                <w:szCs w:val="20"/>
              </w:rPr>
              <w:t>…</w:t>
            </w:r>
          </w:p>
        </w:tc>
      </w:tr>
    </w:tbl>
    <w:p w14:paraId="3FE6A1B2" w14:textId="77777777" w:rsidR="00133ED4" w:rsidRDefault="00133ED4"/>
    <w:p w14:paraId="0DD5FFD6" w14:textId="77777777" w:rsidR="00133ED4" w:rsidRDefault="00FB11EF">
      <w:pPr>
        <w:pStyle w:val="0Maintext"/>
        <w:spacing w:after="0"/>
        <w:ind w:firstLine="0"/>
      </w:pPr>
      <w:r>
        <w:t>Please provide your feedback regarding the above Proposal 2.</w:t>
      </w:r>
    </w:p>
    <w:tbl>
      <w:tblPr>
        <w:tblStyle w:val="TableGrid"/>
        <w:tblW w:w="9085" w:type="dxa"/>
        <w:jc w:val="center"/>
        <w:tblLook w:val="04A0" w:firstRow="1" w:lastRow="0" w:firstColumn="1" w:lastColumn="0" w:noHBand="0" w:noVBand="1"/>
      </w:tblPr>
      <w:tblGrid>
        <w:gridCol w:w="2425"/>
        <w:gridCol w:w="6660"/>
      </w:tblGrid>
      <w:tr w:rsidR="00133ED4" w14:paraId="1BCFBB30" w14:textId="77777777">
        <w:trPr>
          <w:jc w:val="center"/>
        </w:trPr>
        <w:tc>
          <w:tcPr>
            <w:tcW w:w="2425" w:type="dxa"/>
            <w:shd w:val="clear" w:color="auto" w:fill="ACB9CA" w:themeFill="text2" w:themeFillTint="66"/>
          </w:tcPr>
          <w:p w14:paraId="65C463DF" w14:textId="77777777" w:rsidR="00133ED4" w:rsidRDefault="00FB11EF">
            <w:pPr>
              <w:pStyle w:val="0Maintext"/>
              <w:spacing w:after="120" w:line="240" w:lineRule="auto"/>
              <w:rPr>
                <w:b/>
              </w:rPr>
            </w:pPr>
            <w:r>
              <w:rPr>
                <w:b/>
              </w:rPr>
              <w:t>Company</w:t>
            </w:r>
          </w:p>
        </w:tc>
        <w:tc>
          <w:tcPr>
            <w:tcW w:w="6660" w:type="dxa"/>
            <w:shd w:val="clear" w:color="auto" w:fill="ACB9CA" w:themeFill="text2" w:themeFillTint="66"/>
          </w:tcPr>
          <w:p w14:paraId="3A384584" w14:textId="77777777" w:rsidR="00133ED4" w:rsidRDefault="00FB11EF">
            <w:pPr>
              <w:pStyle w:val="0Maintext"/>
              <w:spacing w:after="120" w:line="240" w:lineRule="auto"/>
              <w:jc w:val="center"/>
              <w:rPr>
                <w:b/>
              </w:rPr>
            </w:pPr>
            <w:r>
              <w:rPr>
                <w:b/>
              </w:rPr>
              <w:t>Comments</w:t>
            </w:r>
          </w:p>
        </w:tc>
      </w:tr>
      <w:tr w:rsidR="00133ED4" w14:paraId="779E6846" w14:textId="77777777">
        <w:trPr>
          <w:jc w:val="center"/>
        </w:trPr>
        <w:tc>
          <w:tcPr>
            <w:tcW w:w="2425" w:type="dxa"/>
          </w:tcPr>
          <w:p w14:paraId="0B4CD8F0" w14:textId="77777777" w:rsidR="00133ED4" w:rsidRDefault="00FB11EF">
            <w:pPr>
              <w:pStyle w:val="0Maintext"/>
              <w:spacing w:after="120" w:line="240" w:lineRule="auto"/>
              <w:ind w:firstLine="0"/>
              <w:rPr>
                <w:rFonts w:eastAsia="Yu Mincho"/>
                <w:lang w:eastAsia="ja-JP"/>
              </w:rPr>
            </w:pPr>
            <w:r>
              <w:rPr>
                <w:rFonts w:eastAsia="Yu Mincho" w:hint="eastAsia"/>
                <w:lang w:eastAsia="ja-JP"/>
              </w:rPr>
              <w:t>NTT DOCOMO</w:t>
            </w:r>
          </w:p>
        </w:tc>
        <w:tc>
          <w:tcPr>
            <w:tcW w:w="6660" w:type="dxa"/>
          </w:tcPr>
          <w:p w14:paraId="1E2B2104" w14:textId="77777777" w:rsidR="00133ED4" w:rsidRDefault="00FB11EF">
            <w:pPr>
              <w:pStyle w:val="0Maintext"/>
              <w:spacing w:after="120" w:line="240" w:lineRule="auto"/>
              <w:ind w:firstLine="0"/>
              <w:rPr>
                <w:rFonts w:eastAsia="Yu Mincho"/>
                <w:lang w:eastAsia="ja-JP"/>
              </w:rPr>
            </w:pPr>
            <w:r>
              <w:rPr>
                <w:rFonts w:eastAsia="Yu Mincho" w:hint="eastAsia"/>
                <w:lang w:eastAsia="ja-JP"/>
              </w:rPr>
              <w:t>As we commented on the proposal 1, we would like to first understand the impact to UL Tx switching operation due to DG-PUSCH overriding a CG-PUSCH on the same serving cell.</w:t>
            </w:r>
          </w:p>
        </w:tc>
      </w:tr>
      <w:tr w:rsidR="00133ED4" w14:paraId="67C88E56" w14:textId="77777777">
        <w:trPr>
          <w:jc w:val="center"/>
        </w:trPr>
        <w:tc>
          <w:tcPr>
            <w:tcW w:w="2425" w:type="dxa"/>
          </w:tcPr>
          <w:p w14:paraId="13132CC2" w14:textId="77777777" w:rsidR="00133ED4" w:rsidRDefault="00FB11EF">
            <w:pPr>
              <w:pStyle w:val="0Maintext"/>
              <w:spacing w:after="120" w:line="240" w:lineRule="auto"/>
            </w:pPr>
            <w:r>
              <w:t>Apple</w:t>
            </w:r>
          </w:p>
        </w:tc>
        <w:tc>
          <w:tcPr>
            <w:tcW w:w="6660" w:type="dxa"/>
          </w:tcPr>
          <w:p w14:paraId="61A8D488" w14:textId="77777777" w:rsidR="00133ED4" w:rsidRDefault="00FB11EF">
            <w:pPr>
              <w:pStyle w:val="0Maintext"/>
              <w:spacing w:after="120" w:line="240" w:lineRule="auto"/>
              <w:ind w:firstLine="0"/>
            </w:pPr>
            <w:r>
              <w:t>Support</w:t>
            </w:r>
          </w:p>
          <w:p w14:paraId="24EE5F3E" w14:textId="77777777" w:rsidR="00133ED4" w:rsidRDefault="00FB11EF">
            <w:pPr>
              <w:pStyle w:val="0Maintext"/>
              <w:spacing w:after="120" w:line="240" w:lineRule="auto"/>
              <w:ind w:firstLine="0"/>
            </w:pPr>
            <w:r>
              <w:t>To DCM: please see our comment to Proposal 1.</w:t>
            </w:r>
          </w:p>
        </w:tc>
      </w:tr>
      <w:tr w:rsidR="00133ED4" w14:paraId="1FEF84B2" w14:textId="77777777">
        <w:trPr>
          <w:jc w:val="center"/>
        </w:trPr>
        <w:tc>
          <w:tcPr>
            <w:tcW w:w="2425" w:type="dxa"/>
          </w:tcPr>
          <w:p w14:paraId="140957A8" w14:textId="77777777" w:rsidR="00133ED4" w:rsidRDefault="00FB11EF">
            <w:pPr>
              <w:pStyle w:val="0Maintext"/>
              <w:spacing w:after="120" w:line="240" w:lineRule="auto"/>
              <w:rPr>
                <w:rFonts w:eastAsia="PMingLiU"/>
                <w:lang w:eastAsia="zh-TW"/>
              </w:rPr>
            </w:pPr>
            <w:r>
              <w:rPr>
                <w:rFonts w:eastAsia="PMingLiU" w:hint="eastAsia"/>
                <w:lang w:eastAsia="zh-TW"/>
              </w:rPr>
              <w:t>M</w:t>
            </w:r>
            <w:r>
              <w:rPr>
                <w:rFonts w:eastAsia="PMingLiU"/>
                <w:lang w:eastAsia="zh-TW"/>
              </w:rPr>
              <w:t>TK</w:t>
            </w:r>
          </w:p>
        </w:tc>
        <w:tc>
          <w:tcPr>
            <w:tcW w:w="6660" w:type="dxa"/>
          </w:tcPr>
          <w:p w14:paraId="45747669" w14:textId="77777777" w:rsidR="00133ED4" w:rsidRDefault="00FB11EF">
            <w:pPr>
              <w:pStyle w:val="0Maintext"/>
              <w:spacing w:after="120" w:line="240" w:lineRule="auto"/>
              <w:ind w:firstLine="0"/>
              <w:rPr>
                <w:rFonts w:eastAsia="PMingLiU"/>
                <w:lang w:eastAsia="zh-TW"/>
              </w:rPr>
            </w:pPr>
            <w:r>
              <w:rPr>
                <w:rFonts w:eastAsia="PMingLiU" w:hint="eastAsia"/>
                <w:lang w:eastAsia="zh-TW"/>
              </w:rPr>
              <w:t>W</w:t>
            </w:r>
            <w:r>
              <w:rPr>
                <w:rFonts w:eastAsia="PMingLiU"/>
                <w:lang w:eastAsia="zh-TW"/>
              </w:rPr>
              <w:t>e can support the TP.</w:t>
            </w:r>
          </w:p>
        </w:tc>
      </w:tr>
      <w:tr w:rsidR="00133ED4" w14:paraId="50A53CBD" w14:textId="77777777">
        <w:trPr>
          <w:jc w:val="center"/>
        </w:trPr>
        <w:tc>
          <w:tcPr>
            <w:tcW w:w="2425" w:type="dxa"/>
            <w:shd w:val="clear" w:color="auto" w:fill="auto"/>
          </w:tcPr>
          <w:p w14:paraId="42C25F61" w14:textId="77777777" w:rsidR="00133ED4" w:rsidRDefault="00FB11EF">
            <w:pPr>
              <w:pStyle w:val="0Maintext"/>
              <w:spacing w:after="120" w:line="240" w:lineRule="auto"/>
              <w:rPr>
                <w:rFonts w:eastAsia="SimSun"/>
                <w:lang w:val="en-US" w:eastAsia="zh-CN"/>
              </w:rPr>
            </w:pPr>
            <w:r>
              <w:rPr>
                <w:rFonts w:eastAsia="SimSun" w:hint="eastAsia"/>
                <w:lang w:val="en-US" w:eastAsia="zh-CN"/>
              </w:rPr>
              <w:t>New H3C</w:t>
            </w:r>
          </w:p>
        </w:tc>
        <w:tc>
          <w:tcPr>
            <w:tcW w:w="6660" w:type="dxa"/>
            <w:shd w:val="clear" w:color="auto" w:fill="auto"/>
          </w:tcPr>
          <w:p w14:paraId="35D1E75A" w14:textId="77777777" w:rsidR="00133ED4" w:rsidRDefault="00FB11EF">
            <w:pPr>
              <w:pStyle w:val="0Maintext"/>
              <w:spacing w:after="120" w:line="240" w:lineRule="auto"/>
              <w:ind w:firstLine="0"/>
              <w:rPr>
                <w:rFonts w:eastAsia="SimSun"/>
                <w:lang w:val="en-US" w:eastAsia="zh-CN"/>
              </w:rPr>
            </w:pPr>
            <w:r>
              <w:rPr>
                <w:rFonts w:eastAsia="SimSun" w:hint="eastAsia"/>
                <w:lang w:val="en-US" w:eastAsia="zh-CN"/>
              </w:rPr>
              <w:t>OK with proposal 1</w:t>
            </w:r>
          </w:p>
        </w:tc>
      </w:tr>
      <w:tr w:rsidR="00133ED4" w14:paraId="21717E60" w14:textId="77777777">
        <w:trPr>
          <w:jc w:val="center"/>
        </w:trPr>
        <w:tc>
          <w:tcPr>
            <w:tcW w:w="2425" w:type="dxa"/>
          </w:tcPr>
          <w:p w14:paraId="6E17FEB7" w14:textId="77777777" w:rsidR="00133ED4" w:rsidRDefault="00133ED4">
            <w:pPr>
              <w:pStyle w:val="0Maintext"/>
              <w:spacing w:after="120" w:line="240" w:lineRule="auto"/>
            </w:pPr>
          </w:p>
        </w:tc>
        <w:tc>
          <w:tcPr>
            <w:tcW w:w="6660" w:type="dxa"/>
          </w:tcPr>
          <w:p w14:paraId="2993AD71" w14:textId="77777777" w:rsidR="00133ED4" w:rsidRDefault="00133ED4">
            <w:pPr>
              <w:pStyle w:val="0Maintext"/>
              <w:spacing w:after="120" w:line="240" w:lineRule="auto"/>
              <w:ind w:firstLine="0"/>
            </w:pPr>
          </w:p>
        </w:tc>
      </w:tr>
      <w:tr w:rsidR="00133ED4" w14:paraId="477F04F1" w14:textId="77777777">
        <w:trPr>
          <w:jc w:val="center"/>
        </w:trPr>
        <w:tc>
          <w:tcPr>
            <w:tcW w:w="2425" w:type="dxa"/>
          </w:tcPr>
          <w:p w14:paraId="1A09F6CE" w14:textId="77777777" w:rsidR="00133ED4" w:rsidRDefault="00133ED4">
            <w:pPr>
              <w:pStyle w:val="0Maintext"/>
              <w:spacing w:after="120" w:line="240" w:lineRule="auto"/>
            </w:pPr>
          </w:p>
        </w:tc>
        <w:tc>
          <w:tcPr>
            <w:tcW w:w="6660" w:type="dxa"/>
          </w:tcPr>
          <w:p w14:paraId="0B4DECB8" w14:textId="77777777" w:rsidR="00133ED4" w:rsidRDefault="00133ED4">
            <w:pPr>
              <w:pStyle w:val="0Maintext"/>
              <w:spacing w:after="120" w:line="240" w:lineRule="auto"/>
              <w:ind w:firstLine="0"/>
            </w:pPr>
          </w:p>
        </w:tc>
      </w:tr>
      <w:tr w:rsidR="00133ED4" w14:paraId="2A7D4E4D" w14:textId="77777777">
        <w:trPr>
          <w:jc w:val="center"/>
        </w:trPr>
        <w:tc>
          <w:tcPr>
            <w:tcW w:w="2425" w:type="dxa"/>
          </w:tcPr>
          <w:p w14:paraId="6EED70EF" w14:textId="77777777" w:rsidR="00133ED4" w:rsidRDefault="00133ED4">
            <w:pPr>
              <w:pStyle w:val="0Maintext"/>
              <w:spacing w:after="120" w:line="240" w:lineRule="auto"/>
            </w:pPr>
          </w:p>
        </w:tc>
        <w:tc>
          <w:tcPr>
            <w:tcW w:w="6660" w:type="dxa"/>
          </w:tcPr>
          <w:p w14:paraId="2612636F" w14:textId="77777777" w:rsidR="00133ED4" w:rsidRDefault="00133ED4">
            <w:pPr>
              <w:pStyle w:val="0Maintext"/>
              <w:spacing w:after="120" w:line="240" w:lineRule="auto"/>
              <w:ind w:firstLine="0"/>
            </w:pPr>
          </w:p>
        </w:tc>
      </w:tr>
    </w:tbl>
    <w:p w14:paraId="2431A38F" w14:textId="77777777" w:rsidR="00133ED4" w:rsidRDefault="00133ED4"/>
    <w:p w14:paraId="1F5C78A5" w14:textId="77777777" w:rsidR="00133ED4" w:rsidRDefault="00133ED4">
      <w:pPr>
        <w:jc w:val="both"/>
      </w:pPr>
    </w:p>
    <w:sectPr w:rsidR="00133ED4">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DB7B0" w14:textId="77777777" w:rsidR="0045280E" w:rsidRDefault="0045280E" w:rsidP="00FA7D3C">
      <w:r>
        <w:separator/>
      </w:r>
    </w:p>
  </w:endnote>
  <w:endnote w:type="continuationSeparator" w:id="0">
    <w:p w14:paraId="16A5156B" w14:textId="77777777" w:rsidR="0045280E" w:rsidRDefault="0045280E" w:rsidP="00FA7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Deng 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09AFD" w14:textId="77777777" w:rsidR="0045280E" w:rsidRDefault="0045280E" w:rsidP="00FA7D3C">
      <w:r>
        <w:separator/>
      </w:r>
    </w:p>
  </w:footnote>
  <w:footnote w:type="continuationSeparator" w:id="0">
    <w:p w14:paraId="38BB0FF2" w14:textId="77777777" w:rsidR="0045280E" w:rsidRDefault="0045280E" w:rsidP="00FA7D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num w:numId="1" w16cid:durableId="1033768179">
    <w:abstractNumId w:val="1"/>
  </w:num>
  <w:num w:numId="2" w16cid:durableId="88417523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AzNDc0sjA0Njc3s7BU0lEKTi0uzszPAykwrAUA2MFbAiwAAAA="/>
    <w:docVar w:name="commondata" w:val="eyJoZGlkIjoiZWNiNjg5YWZhZDBhNDA1MWMwZDA5OWNjNmE2YmZiM2QifQ=="/>
  </w:docVars>
  <w:rsids>
    <w:rsidRoot w:val="00B23EB7"/>
    <w:rsid w:val="0000344A"/>
    <w:rsid w:val="00006DA0"/>
    <w:rsid w:val="000100B5"/>
    <w:rsid w:val="00010C03"/>
    <w:rsid w:val="00017B94"/>
    <w:rsid w:val="00017E93"/>
    <w:rsid w:val="000212EC"/>
    <w:rsid w:val="00021361"/>
    <w:rsid w:val="00021891"/>
    <w:rsid w:val="000227DF"/>
    <w:rsid w:val="00024CF4"/>
    <w:rsid w:val="00025576"/>
    <w:rsid w:val="00026DF9"/>
    <w:rsid w:val="00030026"/>
    <w:rsid w:val="00031D27"/>
    <w:rsid w:val="00031E68"/>
    <w:rsid w:val="00032914"/>
    <w:rsid w:val="00032D06"/>
    <w:rsid w:val="00034E9C"/>
    <w:rsid w:val="00034FB9"/>
    <w:rsid w:val="000354D1"/>
    <w:rsid w:val="00037E22"/>
    <w:rsid w:val="00041650"/>
    <w:rsid w:val="00041988"/>
    <w:rsid w:val="00043DF4"/>
    <w:rsid w:val="00044CC2"/>
    <w:rsid w:val="00046585"/>
    <w:rsid w:val="000506CA"/>
    <w:rsid w:val="00050D4A"/>
    <w:rsid w:val="00051373"/>
    <w:rsid w:val="000531E2"/>
    <w:rsid w:val="0005334C"/>
    <w:rsid w:val="00055D16"/>
    <w:rsid w:val="00055F76"/>
    <w:rsid w:val="0005612B"/>
    <w:rsid w:val="00057599"/>
    <w:rsid w:val="000605BB"/>
    <w:rsid w:val="0006357F"/>
    <w:rsid w:val="00063843"/>
    <w:rsid w:val="000639F0"/>
    <w:rsid w:val="00064842"/>
    <w:rsid w:val="00064897"/>
    <w:rsid w:val="0006765A"/>
    <w:rsid w:val="00071AFF"/>
    <w:rsid w:val="00072098"/>
    <w:rsid w:val="00073B49"/>
    <w:rsid w:val="000756C7"/>
    <w:rsid w:val="0007732F"/>
    <w:rsid w:val="00081B2B"/>
    <w:rsid w:val="00085223"/>
    <w:rsid w:val="0008670F"/>
    <w:rsid w:val="00087150"/>
    <w:rsid w:val="00090F30"/>
    <w:rsid w:val="000923EC"/>
    <w:rsid w:val="00092747"/>
    <w:rsid w:val="00092A31"/>
    <w:rsid w:val="000A1890"/>
    <w:rsid w:val="000A70BC"/>
    <w:rsid w:val="000B5338"/>
    <w:rsid w:val="000B562F"/>
    <w:rsid w:val="000C20D6"/>
    <w:rsid w:val="000C2A9D"/>
    <w:rsid w:val="000C7006"/>
    <w:rsid w:val="000D0F78"/>
    <w:rsid w:val="000D18B6"/>
    <w:rsid w:val="000D2660"/>
    <w:rsid w:val="000D4A1A"/>
    <w:rsid w:val="000D54C9"/>
    <w:rsid w:val="000E2519"/>
    <w:rsid w:val="000F0300"/>
    <w:rsid w:val="000F2C70"/>
    <w:rsid w:val="000F573B"/>
    <w:rsid w:val="000F6C72"/>
    <w:rsid w:val="001011FC"/>
    <w:rsid w:val="0010269A"/>
    <w:rsid w:val="001033DC"/>
    <w:rsid w:val="00103806"/>
    <w:rsid w:val="00103EC9"/>
    <w:rsid w:val="00107247"/>
    <w:rsid w:val="00115255"/>
    <w:rsid w:val="00120BE9"/>
    <w:rsid w:val="0012163E"/>
    <w:rsid w:val="00123865"/>
    <w:rsid w:val="00124683"/>
    <w:rsid w:val="00127219"/>
    <w:rsid w:val="00127655"/>
    <w:rsid w:val="00130183"/>
    <w:rsid w:val="00130A25"/>
    <w:rsid w:val="0013108B"/>
    <w:rsid w:val="00133ED4"/>
    <w:rsid w:val="00134A16"/>
    <w:rsid w:val="00134CE7"/>
    <w:rsid w:val="0013748D"/>
    <w:rsid w:val="00137A58"/>
    <w:rsid w:val="00140849"/>
    <w:rsid w:val="00143A0D"/>
    <w:rsid w:val="0014756C"/>
    <w:rsid w:val="00147DCD"/>
    <w:rsid w:val="001511AC"/>
    <w:rsid w:val="00151930"/>
    <w:rsid w:val="00151B45"/>
    <w:rsid w:val="00153773"/>
    <w:rsid w:val="0015382F"/>
    <w:rsid w:val="00155F81"/>
    <w:rsid w:val="00161E92"/>
    <w:rsid w:val="00162C20"/>
    <w:rsid w:val="001655D0"/>
    <w:rsid w:val="00167B10"/>
    <w:rsid w:val="0017048D"/>
    <w:rsid w:val="00174012"/>
    <w:rsid w:val="0017558E"/>
    <w:rsid w:val="0017608D"/>
    <w:rsid w:val="0017731D"/>
    <w:rsid w:val="00181F11"/>
    <w:rsid w:val="0018214E"/>
    <w:rsid w:val="00185A0B"/>
    <w:rsid w:val="0018607A"/>
    <w:rsid w:val="00186802"/>
    <w:rsid w:val="00193222"/>
    <w:rsid w:val="00194BBD"/>
    <w:rsid w:val="0019597B"/>
    <w:rsid w:val="00195DEA"/>
    <w:rsid w:val="001A0762"/>
    <w:rsid w:val="001A4FA2"/>
    <w:rsid w:val="001A5A42"/>
    <w:rsid w:val="001A5F2D"/>
    <w:rsid w:val="001B0BC6"/>
    <w:rsid w:val="001B3F28"/>
    <w:rsid w:val="001B4E23"/>
    <w:rsid w:val="001B7BEC"/>
    <w:rsid w:val="001C23D4"/>
    <w:rsid w:val="001C311A"/>
    <w:rsid w:val="001C3DE0"/>
    <w:rsid w:val="001C4241"/>
    <w:rsid w:val="001C53C6"/>
    <w:rsid w:val="001C71ED"/>
    <w:rsid w:val="001C749D"/>
    <w:rsid w:val="001D4036"/>
    <w:rsid w:val="001D4551"/>
    <w:rsid w:val="001D57AE"/>
    <w:rsid w:val="001D5F61"/>
    <w:rsid w:val="001D66CD"/>
    <w:rsid w:val="001D6F74"/>
    <w:rsid w:val="001D73FF"/>
    <w:rsid w:val="001D7C30"/>
    <w:rsid w:val="001E62A2"/>
    <w:rsid w:val="001E6EAD"/>
    <w:rsid w:val="001E6F84"/>
    <w:rsid w:val="001E73AB"/>
    <w:rsid w:val="001F1442"/>
    <w:rsid w:val="001F257F"/>
    <w:rsid w:val="001F726D"/>
    <w:rsid w:val="00203A0D"/>
    <w:rsid w:val="00203EB5"/>
    <w:rsid w:val="00203F11"/>
    <w:rsid w:val="00205FF8"/>
    <w:rsid w:val="002134C9"/>
    <w:rsid w:val="00215CAC"/>
    <w:rsid w:val="0022064E"/>
    <w:rsid w:val="002226FF"/>
    <w:rsid w:val="0022367D"/>
    <w:rsid w:val="00224F64"/>
    <w:rsid w:val="00227066"/>
    <w:rsid w:val="00227ADC"/>
    <w:rsid w:val="00230647"/>
    <w:rsid w:val="00230CE2"/>
    <w:rsid w:val="00231473"/>
    <w:rsid w:val="00232779"/>
    <w:rsid w:val="002374E4"/>
    <w:rsid w:val="002403EF"/>
    <w:rsid w:val="00242650"/>
    <w:rsid w:val="002442FC"/>
    <w:rsid w:val="00245D27"/>
    <w:rsid w:val="00252B41"/>
    <w:rsid w:val="0025335D"/>
    <w:rsid w:val="00253641"/>
    <w:rsid w:val="00255245"/>
    <w:rsid w:val="00256BF6"/>
    <w:rsid w:val="00256E42"/>
    <w:rsid w:val="00263926"/>
    <w:rsid w:val="00263DBA"/>
    <w:rsid w:val="00264D68"/>
    <w:rsid w:val="0026513D"/>
    <w:rsid w:val="00265CA3"/>
    <w:rsid w:val="00266E0F"/>
    <w:rsid w:val="002672E4"/>
    <w:rsid w:val="00270C5A"/>
    <w:rsid w:val="0027181A"/>
    <w:rsid w:val="00272006"/>
    <w:rsid w:val="00274F27"/>
    <w:rsid w:val="00280726"/>
    <w:rsid w:val="002814E7"/>
    <w:rsid w:val="00282265"/>
    <w:rsid w:val="00284AB0"/>
    <w:rsid w:val="00285B13"/>
    <w:rsid w:val="00286A8B"/>
    <w:rsid w:val="0029000E"/>
    <w:rsid w:val="002900FA"/>
    <w:rsid w:val="00292623"/>
    <w:rsid w:val="002948FF"/>
    <w:rsid w:val="0029769A"/>
    <w:rsid w:val="002A1F80"/>
    <w:rsid w:val="002A274D"/>
    <w:rsid w:val="002A4B97"/>
    <w:rsid w:val="002A5B21"/>
    <w:rsid w:val="002A7EFF"/>
    <w:rsid w:val="002B0171"/>
    <w:rsid w:val="002B2991"/>
    <w:rsid w:val="002B5DED"/>
    <w:rsid w:val="002B7128"/>
    <w:rsid w:val="002B72F3"/>
    <w:rsid w:val="002C1494"/>
    <w:rsid w:val="002C2CE9"/>
    <w:rsid w:val="002C4EFD"/>
    <w:rsid w:val="002C7880"/>
    <w:rsid w:val="002C796C"/>
    <w:rsid w:val="002D4B22"/>
    <w:rsid w:val="002D5A4C"/>
    <w:rsid w:val="002D6F69"/>
    <w:rsid w:val="002E2806"/>
    <w:rsid w:val="002E337E"/>
    <w:rsid w:val="002E5153"/>
    <w:rsid w:val="002E520C"/>
    <w:rsid w:val="002E7D5F"/>
    <w:rsid w:val="002F2194"/>
    <w:rsid w:val="002F3060"/>
    <w:rsid w:val="002F45F1"/>
    <w:rsid w:val="0030056F"/>
    <w:rsid w:val="00300829"/>
    <w:rsid w:val="00301356"/>
    <w:rsid w:val="0030554A"/>
    <w:rsid w:val="00306493"/>
    <w:rsid w:val="003105DC"/>
    <w:rsid w:val="00310843"/>
    <w:rsid w:val="00310912"/>
    <w:rsid w:val="00311CE0"/>
    <w:rsid w:val="0031378A"/>
    <w:rsid w:val="00315F36"/>
    <w:rsid w:val="00320EE1"/>
    <w:rsid w:val="00322AFC"/>
    <w:rsid w:val="003262D0"/>
    <w:rsid w:val="00326AED"/>
    <w:rsid w:val="00326C47"/>
    <w:rsid w:val="00326F64"/>
    <w:rsid w:val="003277F3"/>
    <w:rsid w:val="003316B9"/>
    <w:rsid w:val="0033242B"/>
    <w:rsid w:val="00336BA8"/>
    <w:rsid w:val="0034417B"/>
    <w:rsid w:val="00344AE3"/>
    <w:rsid w:val="00350BDC"/>
    <w:rsid w:val="00351207"/>
    <w:rsid w:val="0035224A"/>
    <w:rsid w:val="0035243D"/>
    <w:rsid w:val="00354CD9"/>
    <w:rsid w:val="003563B0"/>
    <w:rsid w:val="00357FC7"/>
    <w:rsid w:val="00360734"/>
    <w:rsid w:val="00360E10"/>
    <w:rsid w:val="0036102F"/>
    <w:rsid w:val="00361704"/>
    <w:rsid w:val="00361D33"/>
    <w:rsid w:val="00362BFD"/>
    <w:rsid w:val="00364786"/>
    <w:rsid w:val="00366F52"/>
    <w:rsid w:val="00367DFA"/>
    <w:rsid w:val="00370876"/>
    <w:rsid w:val="00371A7E"/>
    <w:rsid w:val="00373B92"/>
    <w:rsid w:val="003771E8"/>
    <w:rsid w:val="003802E1"/>
    <w:rsid w:val="003830C6"/>
    <w:rsid w:val="0038526E"/>
    <w:rsid w:val="003856A5"/>
    <w:rsid w:val="003856D0"/>
    <w:rsid w:val="00387EB0"/>
    <w:rsid w:val="00391636"/>
    <w:rsid w:val="003944D1"/>
    <w:rsid w:val="003944FC"/>
    <w:rsid w:val="00395B12"/>
    <w:rsid w:val="00396B63"/>
    <w:rsid w:val="003A0C0A"/>
    <w:rsid w:val="003A10CB"/>
    <w:rsid w:val="003A42FB"/>
    <w:rsid w:val="003A4E7A"/>
    <w:rsid w:val="003B0123"/>
    <w:rsid w:val="003B0919"/>
    <w:rsid w:val="003B187F"/>
    <w:rsid w:val="003B620C"/>
    <w:rsid w:val="003B6AB3"/>
    <w:rsid w:val="003C22B5"/>
    <w:rsid w:val="003C41D2"/>
    <w:rsid w:val="003C49B0"/>
    <w:rsid w:val="003C7475"/>
    <w:rsid w:val="003C74B7"/>
    <w:rsid w:val="003D0609"/>
    <w:rsid w:val="003D1F65"/>
    <w:rsid w:val="003D21DA"/>
    <w:rsid w:val="003D51F2"/>
    <w:rsid w:val="003D7B48"/>
    <w:rsid w:val="003E0060"/>
    <w:rsid w:val="003E0B46"/>
    <w:rsid w:val="003E0DED"/>
    <w:rsid w:val="003E18A1"/>
    <w:rsid w:val="003E66DF"/>
    <w:rsid w:val="003E75B6"/>
    <w:rsid w:val="003F1A2C"/>
    <w:rsid w:val="003F275B"/>
    <w:rsid w:val="003F2AE9"/>
    <w:rsid w:val="00402638"/>
    <w:rsid w:val="00405092"/>
    <w:rsid w:val="00406F8B"/>
    <w:rsid w:val="0041336F"/>
    <w:rsid w:val="004142C8"/>
    <w:rsid w:val="00414973"/>
    <w:rsid w:val="0041645E"/>
    <w:rsid w:val="00417FC9"/>
    <w:rsid w:val="004312F7"/>
    <w:rsid w:val="00432CC0"/>
    <w:rsid w:val="004346AB"/>
    <w:rsid w:val="004349D1"/>
    <w:rsid w:val="00434AF8"/>
    <w:rsid w:val="00434E5C"/>
    <w:rsid w:val="00440159"/>
    <w:rsid w:val="00440BAA"/>
    <w:rsid w:val="00440F14"/>
    <w:rsid w:val="004412D6"/>
    <w:rsid w:val="00443E4C"/>
    <w:rsid w:val="0044499D"/>
    <w:rsid w:val="00446F00"/>
    <w:rsid w:val="00447CBE"/>
    <w:rsid w:val="0045001C"/>
    <w:rsid w:val="004504AA"/>
    <w:rsid w:val="004504F1"/>
    <w:rsid w:val="00451497"/>
    <w:rsid w:val="00451B92"/>
    <w:rsid w:val="0045280E"/>
    <w:rsid w:val="0045482E"/>
    <w:rsid w:val="00457F5D"/>
    <w:rsid w:val="00461B15"/>
    <w:rsid w:val="00461ED7"/>
    <w:rsid w:val="00462035"/>
    <w:rsid w:val="004643B1"/>
    <w:rsid w:val="00464B73"/>
    <w:rsid w:val="00466F57"/>
    <w:rsid w:val="0047012E"/>
    <w:rsid w:val="004704C9"/>
    <w:rsid w:val="004722FE"/>
    <w:rsid w:val="00472BB7"/>
    <w:rsid w:val="00473F4B"/>
    <w:rsid w:val="00474E26"/>
    <w:rsid w:val="004752EB"/>
    <w:rsid w:val="00482F8F"/>
    <w:rsid w:val="004837C5"/>
    <w:rsid w:val="0048391C"/>
    <w:rsid w:val="00483F05"/>
    <w:rsid w:val="0048515E"/>
    <w:rsid w:val="00485EDE"/>
    <w:rsid w:val="00487AF4"/>
    <w:rsid w:val="004909A1"/>
    <w:rsid w:val="004A2991"/>
    <w:rsid w:val="004A41EF"/>
    <w:rsid w:val="004A5D6B"/>
    <w:rsid w:val="004A7CFE"/>
    <w:rsid w:val="004B2562"/>
    <w:rsid w:val="004B3124"/>
    <w:rsid w:val="004B368D"/>
    <w:rsid w:val="004B3972"/>
    <w:rsid w:val="004B3DF5"/>
    <w:rsid w:val="004B4D8D"/>
    <w:rsid w:val="004B74CC"/>
    <w:rsid w:val="004C3746"/>
    <w:rsid w:val="004C45C7"/>
    <w:rsid w:val="004C4A14"/>
    <w:rsid w:val="004C6ABA"/>
    <w:rsid w:val="004C7036"/>
    <w:rsid w:val="004E01AD"/>
    <w:rsid w:val="004E093D"/>
    <w:rsid w:val="004E2C9C"/>
    <w:rsid w:val="004E531C"/>
    <w:rsid w:val="004E6D4D"/>
    <w:rsid w:val="004F0E21"/>
    <w:rsid w:val="00500DE7"/>
    <w:rsid w:val="00502505"/>
    <w:rsid w:val="0050600B"/>
    <w:rsid w:val="005062CA"/>
    <w:rsid w:val="005070A9"/>
    <w:rsid w:val="005071B1"/>
    <w:rsid w:val="00510C62"/>
    <w:rsid w:val="00511856"/>
    <w:rsid w:val="005128BB"/>
    <w:rsid w:val="00517ADD"/>
    <w:rsid w:val="00520081"/>
    <w:rsid w:val="00521183"/>
    <w:rsid w:val="00523342"/>
    <w:rsid w:val="00523D0F"/>
    <w:rsid w:val="00523D91"/>
    <w:rsid w:val="0052593A"/>
    <w:rsid w:val="00526C5F"/>
    <w:rsid w:val="005327E9"/>
    <w:rsid w:val="00532BAF"/>
    <w:rsid w:val="00537253"/>
    <w:rsid w:val="0053782C"/>
    <w:rsid w:val="00537D1F"/>
    <w:rsid w:val="00540863"/>
    <w:rsid w:val="00543C04"/>
    <w:rsid w:val="00550E3B"/>
    <w:rsid w:val="0055574E"/>
    <w:rsid w:val="00556671"/>
    <w:rsid w:val="005600B1"/>
    <w:rsid w:val="00561D69"/>
    <w:rsid w:val="00562D2B"/>
    <w:rsid w:val="005713D2"/>
    <w:rsid w:val="00574720"/>
    <w:rsid w:val="005757BD"/>
    <w:rsid w:val="00576934"/>
    <w:rsid w:val="00576C02"/>
    <w:rsid w:val="0057794A"/>
    <w:rsid w:val="0058134C"/>
    <w:rsid w:val="00583230"/>
    <w:rsid w:val="00587EDC"/>
    <w:rsid w:val="00593FCB"/>
    <w:rsid w:val="0059417B"/>
    <w:rsid w:val="00596063"/>
    <w:rsid w:val="0059787C"/>
    <w:rsid w:val="005A2058"/>
    <w:rsid w:val="005A3364"/>
    <w:rsid w:val="005A4B77"/>
    <w:rsid w:val="005A5EEA"/>
    <w:rsid w:val="005B0F7A"/>
    <w:rsid w:val="005B1AD1"/>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E6E73"/>
    <w:rsid w:val="005F07A4"/>
    <w:rsid w:val="005F15CC"/>
    <w:rsid w:val="005F4CAA"/>
    <w:rsid w:val="005F57C6"/>
    <w:rsid w:val="005F7A0E"/>
    <w:rsid w:val="00600FC5"/>
    <w:rsid w:val="00602E99"/>
    <w:rsid w:val="006049AA"/>
    <w:rsid w:val="00604C3D"/>
    <w:rsid w:val="00605449"/>
    <w:rsid w:val="00606B23"/>
    <w:rsid w:val="0061765C"/>
    <w:rsid w:val="00620C29"/>
    <w:rsid w:val="00622552"/>
    <w:rsid w:val="00624E1C"/>
    <w:rsid w:val="006262DF"/>
    <w:rsid w:val="00626534"/>
    <w:rsid w:val="0063155A"/>
    <w:rsid w:val="00631A14"/>
    <w:rsid w:val="00632067"/>
    <w:rsid w:val="00632AAC"/>
    <w:rsid w:val="006337E5"/>
    <w:rsid w:val="00634AF5"/>
    <w:rsid w:val="00634B61"/>
    <w:rsid w:val="00636D7B"/>
    <w:rsid w:val="00637B2A"/>
    <w:rsid w:val="00641951"/>
    <w:rsid w:val="0064204C"/>
    <w:rsid w:val="00645994"/>
    <w:rsid w:val="00647F7D"/>
    <w:rsid w:val="00650026"/>
    <w:rsid w:val="006531B1"/>
    <w:rsid w:val="006541EC"/>
    <w:rsid w:val="00654D1D"/>
    <w:rsid w:val="00656CB0"/>
    <w:rsid w:val="00660BC6"/>
    <w:rsid w:val="00660CC8"/>
    <w:rsid w:val="00662D22"/>
    <w:rsid w:val="006640E9"/>
    <w:rsid w:val="00665227"/>
    <w:rsid w:val="00666868"/>
    <w:rsid w:val="00666EBE"/>
    <w:rsid w:val="006700A5"/>
    <w:rsid w:val="00672A3E"/>
    <w:rsid w:val="00675AA3"/>
    <w:rsid w:val="006816E0"/>
    <w:rsid w:val="006823E7"/>
    <w:rsid w:val="006824B2"/>
    <w:rsid w:val="00682EED"/>
    <w:rsid w:val="0068752E"/>
    <w:rsid w:val="00687A78"/>
    <w:rsid w:val="0069662B"/>
    <w:rsid w:val="006A2334"/>
    <w:rsid w:val="006A43D9"/>
    <w:rsid w:val="006A45D6"/>
    <w:rsid w:val="006A51A3"/>
    <w:rsid w:val="006A57C0"/>
    <w:rsid w:val="006B060B"/>
    <w:rsid w:val="006B13B0"/>
    <w:rsid w:val="006B3E00"/>
    <w:rsid w:val="006B59ED"/>
    <w:rsid w:val="006B5D4F"/>
    <w:rsid w:val="006B6545"/>
    <w:rsid w:val="006C3506"/>
    <w:rsid w:val="006C4E0D"/>
    <w:rsid w:val="006D54CF"/>
    <w:rsid w:val="006D6BCE"/>
    <w:rsid w:val="006E0ECB"/>
    <w:rsid w:val="006E6598"/>
    <w:rsid w:val="006E7095"/>
    <w:rsid w:val="006E75C2"/>
    <w:rsid w:val="006E75ED"/>
    <w:rsid w:val="006F07E3"/>
    <w:rsid w:val="006F0EC9"/>
    <w:rsid w:val="006F274D"/>
    <w:rsid w:val="006F3690"/>
    <w:rsid w:val="006F55CF"/>
    <w:rsid w:val="006F66D2"/>
    <w:rsid w:val="00702015"/>
    <w:rsid w:val="00707829"/>
    <w:rsid w:val="0071089C"/>
    <w:rsid w:val="0072015E"/>
    <w:rsid w:val="00720BE8"/>
    <w:rsid w:val="00720EBF"/>
    <w:rsid w:val="007236E0"/>
    <w:rsid w:val="00724642"/>
    <w:rsid w:val="0072495E"/>
    <w:rsid w:val="00732388"/>
    <w:rsid w:val="0073426D"/>
    <w:rsid w:val="0073585C"/>
    <w:rsid w:val="00735D78"/>
    <w:rsid w:val="0074226A"/>
    <w:rsid w:val="00744E6D"/>
    <w:rsid w:val="00745F20"/>
    <w:rsid w:val="007500FE"/>
    <w:rsid w:val="00751E2A"/>
    <w:rsid w:val="00752ABE"/>
    <w:rsid w:val="00753D11"/>
    <w:rsid w:val="00754764"/>
    <w:rsid w:val="00754F02"/>
    <w:rsid w:val="0075517A"/>
    <w:rsid w:val="007570AB"/>
    <w:rsid w:val="00760CBD"/>
    <w:rsid w:val="00765C83"/>
    <w:rsid w:val="00765ED9"/>
    <w:rsid w:val="00767A07"/>
    <w:rsid w:val="00770366"/>
    <w:rsid w:val="007720DD"/>
    <w:rsid w:val="007727CB"/>
    <w:rsid w:val="007740EF"/>
    <w:rsid w:val="0077638F"/>
    <w:rsid w:val="00777EAA"/>
    <w:rsid w:val="0078114E"/>
    <w:rsid w:val="007846F3"/>
    <w:rsid w:val="00785551"/>
    <w:rsid w:val="00795245"/>
    <w:rsid w:val="007A09E0"/>
    <w:rsid w:val="007A1F9E"/>
    <w:rsid w:val="007A41E3"/>
    <w:rsid w:val="007B2267"/>
    <w:rsid w:val="007B273D"/>
    <w:rsid w:val="007B5221"/>
    <w:rsid w:val="007C3E37"/>
    <w:rsid w:val="007D110F"/>
    <w:rsid w:val="007D5C52"/>
    <w:rsid w:val="007D645F"/>
    <w:rsid w:val="007D7F00"/>
    <w:rsid w:val="007E03DA"/>
    <w:rsid w:val="007E2553"/>
    <w:rsid w:val="007E3054"/>
    <w:rsid w:val="007E3921"/>
    <w:rsid w:val="007E4A87"/>
    <w:rsid w:val="007E54EF"/>
    <w:rsid w:val="007E554B"/>
    <w:rsid w:val="007E64E7"/>
    <w:rsid w:val="007E6583"/>
    <w:rsid w:val="007E6FF6"/>
    <w:rsid w:val="007E7B7B"/>
    <w:rsid w:val="007F0F64"/>
    <w:rsid w:val="007F128C"/>
    <w:rsid w:val="007F4121"/>
    <w:rsid w:val="007F4737"/>
    <w:rsid w:val="00800FF6"/>
    <w:rsid w:val="00802205"/>
    <w:rsid w:val="00805B0F"/>
    <w:rsid w:val="00807EF3"/>
    <w:rsid w:val="0081070A"/>
    <w:rsid w:val="00813F25"/>
    <w:rsid w:val="00814696"/>
    <w:rsid w:val="00815565"/>
    <w:rsid w:val="00816874"/>
    <w:rsid w:val="00816C7F"/>
    <w:rsid w:val="00820D52"/>
    <w:rsid w:val="00821C78"/>
    <w:rsid w:val="00822058"/>
    <w:rsid w:val="008251EA"/>
    <w:rsid w:val="00830BA2"/>
    <w:rsid w:val="008331B0"/>
    <w:rsid w:val="00834862"/>
    <w:rsid w:val="00836817"/>
    <w:rsid w:val="00837B1F"/>
    <w:rsid w:val="008410E3"/>
    <w:rsid w:val="0084341E"/>
    <w:rsid w:val="00844299"/>
    <w:rsid w:val="00844A78"/>
    <w:rsid w:val="00846787"/>
    <w:rsid w:val="008500C1"/>
    <w:rsid w:val="008523F1"/>
    <w:rsid w:val="008563BD"/>
    <w:rsid w:val="00856799"/>
    <w:rsid w:val="00860F75"/>
    <w:rsid w:val="008612A5"/>
    <w:rsid w:val="00862D13"/>
    <w:rsid w:val="0086391A"/>
    <w:rsid w:val="00863D21"/>
    <w:rsid w:val="00864161"/>
    <w:rsid w:val="00864754"/>
    <w:rsid w:val="008667D6"/>
    <w:rsid w:val="008670B0"/>
    <w:rsid w:val="00870D2D"/>
    <w:rsid w:val="00870F27"/>
    <w:rsid w:val="00871476"/>
    <w:rsid w:val="00871978"/>
    <w:rsid w:val="00873292"/>
    <w:rsid w:val="00880ECD"/>
    <w:rsid w:val="00882A4D"/>
    <w:rsid w:val="00882D87"/>
    <w:rsid w:val="008849F6"/>
    <w:rsid w:val="00885A3C"/>
    <w:rsid w:val="00887C4A"/>
    <w:rsid w:val="0089138A"/>
    <w:rsid w:val="00891C8B"/>
    <w:rsid w:val="00892141"/>
    <w:rsid w:val="008923A6"/>
    <w:rsid w:val="00894787"/>
    <w:rsid w:val="0089700B"/>
    <w:rsid w:val="00897057"/>
    <w:rsid w:val="0089738A"/>
    <w:rsid w:val="008A0861"/>
    <w:rsid w:val="008A25E9"/>
    <w:rsid w:val="008A33FA"/>
    <w:rsid w:val="008A5F33"/>
    <w:rsid w:val="008A65A1"/>
    <w:rsid w:val="008A69C1"/>
    <w:rsid w:val="008B24BF"/>
    <w:rsid w:val="008B31B9"/>
    <w:rsid w:val="008B333E"/>
    <w:rsid w:val="008C009A"/>
    <w:rsid w:val="008C1150"/>
    <w:rsid w:val="008C11A0"/>
    <w:rsid w:val="008C2187"/>
    <w:rsid w:val="008C2BD4"/>
    <w:rsid w:val="008C4747"/>
    <w:rsid w:val="008C50FC"/>
    <w:rsid w:val="008C5F33"/>
    <w:rsid w:val="008D0789"/>
    <w:rsid w:val="008D18C8"/>
    <w:rsid w:val="008D1E53"/>
    <w:rsid w:val="008D3DD1"/>
    <w:rsid w:val="008D487D"/>
    <w:rsid w:val="008D57B6"/>
    <w:rsid w:val="008D6AE1"/>
    <w:rsid w:val="008E227A"/>
    <w:rsid w:val="008E3195"/>
    <w:rsid w:val="008E37E5"/>
    <w:rsid w:val="008E4E27"/>
    <w:rsid w:val="008E5476"/>
    <w:rsid w:val="008F0E83"/>
    <w:rsid w:val="008F11CC"/>
    <w:rsid w:val="008F24A4"/>
    <w:rsid w:val="00900099"/>
    <w:rsid w:val="00901646"/>
    <w:rsid w:val="00901D2D"/>
    <w:rsid w:val="00906E5E"/>
    <w:rsid w:val="00911E05"/>
    <w:rsid w:val="00911EFA"/>
    <w:rsid w:val="0091541D"/>
    <w:rsid w:val="009169C4"/>
    <w:rsid w:val="00916E49"/>
    <w:rsid w:val="00917B0A"/>
    <w:rsid w:val="00920227"/>
    <w:rsid w:val="00922589"/>
    <w:rsid w:val="00922BBD"/>
    <w:rsid w:val="009232EC"/>
    <w:rsid w:val="00923A3D"/>
    <w:rsid w:val="00923D6E"/>
    <w:rsid w:val="009242FD"/>
    <w:rsid w:val="009278F9"/>
    <w:rsid w:val="00927AE6"/>
    <w:rsid w:val="00927D99"/>
    <w:rsid w:val="00934D8B"/>
    <w:rsid w:val="009351FA"/>
    <w:rsid w:val="00935AC3"/>
    <w:rsid w:val="00940793"/>
    <w:rsid w:val="0094095E"/>
    <w:rsid w:val="009427D6"/>
    <w:rsid w:val="0094298C"/>
    <w:rsid w:val="00945554"/>
    <w:rsid w:val="00954483"/>
    <w:rsid w:val="009558DA"/>
    <w:rsid w:val="0095741E"/>
    <w:rsid w:val="00957987"/>
    <w:rsid w:val="00957B16"/>
    <w:rsid w:val="009622B6"/>
    <w:rsid w:val="00962EC6"/>
    <w:rsid w:val="00964F12"/>
    <w:rsid w:val="00965BA8"/>
    <w:rsid w:val="00965CB9"/>
    <w:rsid w:val="00967677"/>
    <w:rsid w:val="00971EB5"/>
    <w:rsid w:val="00972643"/>
    <w:rsid w:val="00973A25"/>
    <w:rsid w:val="00976964"/>
    <w:rsid w:val="00977119"/>
    <w:rsid w:val="009772B9"/>
    <w:rsid w:val="009800FB"/>
    <w:rsid w:val="009834CC"/>
    <w:rsid w:val="00983F09"/>
    <w:rsid w:val="00984B7C"/>
    <w:rsid w:val="00985108"/>
    <w:rsid w:val="00985F99"/>
    <w:rsid w:val="00987AB1"/>
    <w:rsid w:val="00990D66"/>
    <w:rsid w:val="00991DC3"/>
    <w:rsid w:val="00992030"/>
    <w:rsid w:val="00992C57"/>
    <w:rsid w:val="00992D77"/>
    <w:rsid w:val="00993596"/>
    <w:rsid w:val="009964CB"/>
    <w:rsid w:val="00997267"/>
    <w:rsid w:val="009A182D"/>
    <w:rsid w:val="009A47D9"/>
    <w:rsid w:val="009B7EB1"/>
    <w:rsid w:val="009C333F"/>
    <w:rsid w:val="009C3BBA"/>
    <w:rsid w:val="009C4CA6"/>
    <w:rsid w:val="009C53B3"/>
    <w:rsid w:val="009D16D3"/>
    <w:rsid w:val="009D18CF"/>
    <w:rsid w:val="009D1C4F"/>
    <w:rsid w:val="009D60EB"/>
    <w:rsid w:val="009E0E57"/>
    <w:rsid w:val="009E16AA"/>
    <w:rsid w:val="009E2F96"/>
    <w:rsid w:val="009E4CDF"/>
    <w:rsid w:val="009F04BB"/>
    <w:rsid w:val="009F227D"/>
    <w:rsid w:val="009F58CE"/>
    <w:rsid w:val="009F61D0"/>
    <w:rsid w:val="009F7682"/>
    <w:rsid w:val="009F7D20"/>
    <w:rsid w:val="00A00B00"/>
    <w:rsid w:val="00A012A8"/>
    <w:rsid w:val="00A02399"/>
    <w:rsid w:val="00A02836"/>
    <w:rsid w:val="00A02E36"/>
    <w:rsid w:val="00A11012"/>
    <w:rsid w:val="00A13349"/>
    <w:rsid w:val="00A1371C"/>
    <w:rsid w:val="00A13AE3"/>
    <w:rsid w:val="00A14A6D"/>
    <w:rsid w:val="00A14D2A"/>
    <w:rsid w:val="00A153FF"/>
    <w:rsid w:val="00A179B7"/>
    <w:rsid w:val="00A17A22"/>
    <w:rsid w:val="00A20F2F"/>
    <w:rsid w:val="00A30089"/>
    <w:rsid w:val="00A30F00"/>
    <w:rsid w:val="00A31852"/>
    <w:rsid w:val="00A31FCD"/>
    <w:rsid w:val="00A327E8"/>
    <w:rsid w:val="00A3286E"/>
    <w:rsid w:val="00A352F0"/>
    <w:rsid w:val="00A41EE3"/>
    <w:rsid w:val="00A42B01"/>
    <w:rsid w:val="00A466DA"/>
    <w:rsid w:val="00A46C64"/>
    <w:rsid w:val="00A52C80"/>
    <w:rsid w:val="00A53D85"/>
    <w:rsid w:val="00A53E93"/>
    <w:rsid w:val="00A60EAB"/>
    <w:rsid w:val="00A666F2"/>
    <w:rsid w:val="00A75EFF"/>
    <w:rsid w:val="00A805B9"/>
    <w:rsid w:val="00A80DF8"/>
    <w:rsid w:val="00A81738"/>
    <w:rsid w:val="00A8354A"/>
    <w:rsid w:val="00A856AE"/>
    <w:rsid w:val="00A86777"/>
    <w:rsid w:val="00A9213A"/>
    <w:rsid w:val="00A92450"/>
    <w:rsid w:val="00A93DEE"/>
    <w:rsid w:val="00A94416"/>
    <w:rsid w:val="00A95A78"/>
    <w:rsid w:val="00A963F4"/>
    <w:rsid w:val="00AA485D"/>
    <w:rsid w:val="00AA4EE3"/>
    <w:rsid w:val="00AA72B3"/>
    <w:rsid w:val="00AB0956"/>
    <w:rsid w:val="00AB26E1"/>
    <w:rsid w:val="00AB3976"/>
    <w:rsid w:val="00AB54AA"/>
    <w:rsid w:val="00AB55F7"/>
    <w:rsid w:val="00AB59B7"/>
    <w:rsid w:val="00AC1881"/>
    <w:rsid w:val="00AC23CB"/>
    <w:rsid w:val="00AC2430"/>
    <w:rsid w:val="00AC3300"/>
    <w:rsid w:val="00AD0D08"/>
    <w:rsid w:val="00AD172E"/>
    <w:rsid w:val="00AD1997"/>
    <w:rsid w:val="00AE022D"/>
    <w:rsid w:val="00AE0234"/>
    <w:rsid w:val="00AE338C"/>
    <w:rsid w:val="00AE4F86"/>
    <w:rsid w:val="00AF04C4"/>
    <w:rsid w:val="00AF0E18"/>
    <w:rsid w:val="00AF13FC"/>
    <w:rsid w:val="00AF741C"/>
    <w:rsid w:val="00AF7DC9"/>
    <w:rsid w:val="00B0066B"/>
    <w:rsid w:val="00B0084D"/>
    <w:rsid w:val="00B02260"/>
    <w:rsid w:val="00B03184"/>
    <w:rsid w:val="00B058BB"/>
    <w:rsid w:val="00B05BB5"/>
    <w:rsid w:val="00B0669A"/>
    <w:rsid w:val="00B06EFF"/>
    <w:rsid w:val="00B07537"/>
    <w:rsid w:val="00B12FE5"/>
    <w:rsid w:val="00B1523B"/>
    <w:rsid w:val="00B1752F"/>
    <w:rsid w:val="00B2058E"/>
    <w:rsid w:val="00B21867"/>
    <w:rsid w:val="00B227C5"/>
    <w:rsid w:val="00B23EB7"/>
    <w:rsid w:val="00B24932"/>
    <w:rsid w:val="00B268A2"/>
    <w:rsid w:val="00B30C35"/>
    <w:rsid w:val="00B315B3"/>
    <w:rsid w:val="00B33343"/>
    <w:rsid w:val="00B3398E"/>
    <w:rsid w:val="00B36029"/>
    <w:rsid w:val="00B4058C"/>
    <w:rsid w:val="00B418FC"/>
    <w:rsid w:val="00B41982"/>
    <w:rsid w:val="00B43C9D"/>
    <w:rsid w:val="00B46130"/>
    <w:rsid w:val="00B6127B"/>
    <w:rsid w:val="00B63683"/>
    <w:rsid w:val="00B63C76"/>
    <w:rsid w:val="00B644BB"/>
    <w:rsid w:val="00B658E6"/>
    <w:rsid w:val="00B6747F"/>
    <w:rsid w:val="00B67EFB"/>
    <w:rsid w:val="00B71362"/>
    <w:rsid w:val="00B71B4B"/>
    <w:rsid w:val="00B71E1B"/>
    <w:rsid w:val="00B72388"/>
    <w:rsid w:val="00B75DD5"/>
    <w:rsid w:val="00B76E3D"/>
    <w:rsid w:val="00B804AE"/>
    <w:rsid w:val="00B80C85"/>
    <w:rsid w:val="00B818F1"/>
    <w:rsid w:val="00B83E2D"/>
    <w:rsid w:val="00B86B50"/>
    <w:rsid w:val="00B875E8"/>
    <w:rsid w:val="00B90F77"/>
    <w:rsid w:val="00B931DB"/>
    <w:rsid w:val="00B96152"/>
    <w:rsid w:val="00B97C1B"/>
    <w:rsid w:val="00BA2E33"/>
    <w:rsid w:val="00BA55EF"/>
    <w:rsid w:val="00BB2711"/>
    <w:rsid w:val="00BB59A0"/>
    <w:rsid w:val="00BB5B03"/>
    <w:rsid w:val="00BB64B1"/>
    <w:rsid w:val="00BB7080"/>
    <w:rsid w:val="00BB7E23"/>
    <w:rsid w:val="00BC1593"/>
    <w:rsid w:val="00BC2D50"/>
    <w:rsid w:val="00BC36B8"/>
    <w:rsid w:val="00BC38C5"/>
    <w:rsid w:val="00BC411C"/>
    <w:rsid w:val="00BC5228"/>
    <w:rsid w:val="00BC522F"/>
    <w:rsid w:val="00BC66B5"/>
    <w:rsid w:val="00BD43B7"/>
    <w:rsid w:val="00BD484D"/>
    <w:rsid w:val="00BD5870"/>
    <w:rsid w:val="00BD6048"/>
    <w:rsid w:val="00BD6FAC"/>
    <w:rsid w:val="00BD740B"/>
    <w:rsid w:val="00BD7AED"/>
    <w:rsid w:val="00BE0401"/>
    <w:rsid w:val="00BE18C3"/>
    <w:rsid w:val="00BE2B6D"/>
    <w:rsid w:val="00BE3F2D"/>
    <w:rsid w:val="00BE7BD0"/>
    <w:rsid w:val="00BF1DF3"/>
    <w:rsid w:val="00BF2EB4"/>
    <w:rsid w:val="00BF487F"/>
    <w:rsid w:val="00BF66E6"/>
    <w:rsid w:val="00BF6DEF"/>
    <w:rsid w:val="00C0753A"/>
    <w:rsid w:val="00C174FE"/>
    <w:rsid w:val="00C20B5B"/>
    <w:rsid w:val="00C20B74"/>
    <w:rsid w:val="00C20E65"/>
    <w:rsid w:val="00C2111A"/>
    <w:rsid w:val="00C273F2"/>
    <w:rsid w:val="00C27C5E"/>
    <w:rsid w:val="00C30780"/>
    <w:rsid w:val="00C309F5"/>
    <w:rsid w:val="00C317D3"/>
    <w:rsid w:val="00C31E5B"/>
    <w:rsid w:val="00C36E32"/>
    <w:rsid w:val="00C405FD"/>
    <w:rsid w:val="00C41500"/>
    <w:rsid w:val="00C42836"/>
    <w:rsid w:val="00C434FF"/>
    <w:rsid w:val="00C46B5C"/>
    <w:rsid w:val="00C5338B"/>
    <w:rsid w:val="00C5663A"/>
    <w:rsid w:val="00C608F5"/>
    <w:rsid w:val="00C65264"/>
    <w:rsid w:val="00C65A03"/>
    <w:rsid w:val="00C6638D"/>
    <w:rsid w:val="00C66506"/>
    <w:rsid w:val="00C66A4A"/>
    <w:rsid w:val="00C67D91"/>
    <w:rsid w:val="00C701E0"/>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97F4D"/>
    <w:rsid w:val="00CA1C51"/>
    <w:rsid w:val="00CA1C54"/>
    <w:rsid w:val="00CA24D4"/>
    <w:rsid w:val="00CA48D8"/>
    <w:rsid w:val="00CB1134"/>
    <w:rsid w:val="00CB2A31"/>
    <w:rsid w:val="00CB3368"/>
    <w:rsid w:val="00CB39B6"/>
    <w:rsid w:val="00CB5549"/>
    <w:rsid w:val="00CB5A91"/>
    <w:rsid w:val="00CB5D21"/>
    <w:rsid w:val="00CB5F21"/>
    <w:rsid w:val="00CB6062"/>
    <w:rsid w:val="00CC0900"/>
    <w:rsid w:val="00CC0C38"/>
    <w:rsid w:val="00CC3519"/>
    <w:rsid w:val="00CC7F53"/>
    <w:rsid w:val="00CD27DB"/>
    <w:rsid w:val="00CD69FA"/>
    <w:rsid w:val="00CE171E"/>
    <w:rsid w:val="00CE2EA5"/>
    <w:rsid w:val="00CE3243"/>
    <w:rsid w:val="00CE563C"/>
    <w:rsid w:val="00CE6A45"/>
    <w:rsid w:val="00CE7503"/>
    <w:rsid w:val="00CF1E92"/>
    <w:rsid w:val="00CF3D03"/>
    <w:rsid w:val="00CF4C3A"/>
    <w:rsid w:val="00CF74A7"/>
    <w:rsid w:val="00D000EB"/>
    <w:rsid w:val="00D04A53"/>
    <w:rsid w:val="00D07571"/>
    <w:rsid w:val="00D079BA"/>
    <w:rsid w:val="00D07E67"/>
    <w:rsid w:val="00D07EA0"/>
    <w:rsid w:val="00D1218B"/>
    <w:rsid w:val="00D16A46"/>
    <w:rsid w:val="00D17438"/>
    <w:rsid w:val="00D177E7"/>
    <w:rsid w:val="00D17A38"/>
    <w:rsid w:val="00D20CD5"/>
    <w:rsid w:val="00D21BF0"/>
    <w:rsid w:val="00D22343"/>
    <w:rsid w:val="00D2248F"/>
    <w:rsid w:val="00D2359C"/>
    <w:rsid w:val="00D24E9A"/>
    <w:rsid w:val="00D25508"/>
    <w:rsid w:val="00D2602C"/>
    <w:rsid w:val="00D263F1"/>
    <w:rsid w:val="00D313A3"/>
    <w:rsid w:val="00D31555"/>
    <w:rsid w:val="00D31C8A"/>
    <w:rsid w:val="00D31D9D"/>
    <w:rsid w:val="00D3259B"/>
    <w:rsid w:val="00D33978"/>
    <w:rsid w:val="00D40277"/>
    <w:rsid w:val="00D402CA"/>
    <w:rsid w:val="00D406E1"/>
    <w:rsid w:val="00D406E6"/>
    <w:rsid w:val="00D41D35"/>
    <w:rsid w:val="00D4456A"/>
    <w:rsid w:val="00D44909"/>
    <w:rsid w:val="00D44CB2"/>
    <w:rsid w:val="00D45E02"/>
    <w:rsid w:val="00D46443"/>
    <w:rsid w:val="00D46FAF"/>
    <w:rsid w:val="00D47F37"/>
    <w:rsid w:val="00D516C8"/>
    <w:rsid w:val="00D549FB"/>
    <w:rsid w:val="00D54E04"/>
    <w:rsid w:val="00D57B8C"/>
    <w:rsid w:val="00D57E64"/>
    <w:rsid w:val="00D6074E"/>
    <w:rsid w:val="00D623A6"/>
    <w:rsid w:val="00D814FE"/>
    <w:rsid w:val="00D8253A"/>
    <w:rsid w:val="00D826DD"/>
    <w:rsid w:val="00D82BE1"/>
    <w:rsid w:val="00D83D3F"/>
    <w:rsid w:val="00D84C50"/>
    <w:rsid w:val="00D85393"/>
    <w:rsid w:val="00D9083F"/>
    <w:rsid w:val="00D92B3F"/>
    <w:rsid w:val="00D96824"/>
    <w:rsid w:val="00DA0B80"/>
    <w:rsid w:val="00DA1BAF"/>
    <w:rsid w:val="00DA3C47"/>
    <w:rsid w:val="00DA5358"/>
    <w:rsid w:val="00DA570C"/>
    <w:rsid w:val="00DA5EB1"/>
    <w:rsid w:val="00DB1A36"/>
    <w:rsid w:val="00DB3208"/>
    <w:rsid w:val="00DB481F"/>
    <w:rsid w:val="00DB4A10"/>
    <w:rsid w:val="00DB63BD"/>
    <w:rsid w:val="00DB7E54"/>
    <w:rsid w:val="00DC1188"/>
    <w:rsid w:val="00DC6296"/>
    <w:rsid w:val="00DD2DF0"/>
    <w:rsid w:val="00DD41F4"/>
    <w:rsid w:val="00DD7E2F"/>
    <w:rsid w:val="00DE0B03"/>
    <w:rsid w:val="00DE6162"/>
    <w:rsid w:val="00DF001E"/>
    <w:rsid w:val="00DF0066"/>
    <w:rsid w:val="00DF4C2B"/>
    <w:rsid w:val="00DF7952"/>
    <w:rsid w:val="00E00694"/>
    <w:rsid w:val="00E0303A"/>
    <w:rsid w:val="00E031A1"/>
    <w:rsid w:val="00E10633"/>
    <w:rsid w:val="00E11B95"/>
    <w:rsid w:val="00E11D87"/>
    <w:rsid w:val="00E11EDC"/>
    <w:rsid w:val="00E12DDA"/>
    <w:rsid w:val="00E138E0"/>
    <w:rsid w:val="00E13D41"/>
    <w:rsid w:val="00E16798"/>
    <w:rsid w:val="00E24D30"/>
    <w:rsid w:val="00E27C0E"/>
    <w:rsid w:val="00E30225"/>
    <w:rsid w:val="00E327AE"/>
    <w:rsid w:val="00E328F5"/>
    <w:rsid w:val="00E3506C"/>
    <w:rsid w:val="00E35546"/>
    <w:rsid w:val="00E37A4F"/>
    <w:rsid w:val="00E4025A"/>
    <w:rsid w:val="00E41989"/>
    <w:rsid w:val="00E41B10"/>
    <w:rsid w:val="00E428C2"/>
    <w:rsid w:val="00E479E0"/>
    <w:rsid w:val="00E50BFF"/>
    <w:rsid w:val="00E55EB5"/>
    <w:rsid w:val="00E56A0E"/>
    <w:rsid w:val="00E60394"/>
    <w:rsid w:val="00E614BF"/>
    <w:rsid w:val="00E65A0B"/>
    <w:rsid w:val="00E67983"/>
    <w:rsid w:val="00E73F84"/>
    <w:rsid w:val="00E7599B"/>
    <w:rsid w:val="00E75B21"/>
    <w:rsid w:val="00E80518"/>
    <w:rsid w:val="00E808D4"/>
    <w:rsid w:val="00E83039"/>
    <w:rsid w:val="00E83E9A"/>
    <w:rsid w:val="00E852C2"/>
    <w:rsid w:val="00E913CB"/>
    <w:rsid w:val="00E94B77"/>
    <w:rsid w:val="00E96857"/>
    <w:rsid w:val="00E96C6C"/>
    <w:rsid w:val="00EA02A2"/>
    <w:rsid w:val="00EA0E7B"/>
    <w:rsid w:val="00EA2090"/>
    <w:rsid w:val="00EA4DE9"/>
    <w:rsid w:val="00EA606F"/>
    <w:rsid w:val="00EA62B5"/>
    <w:rsid w:val="00EA73C1"/>
    <w:rsid w:val="00EB1215"/>
    <w:rsid w:val="00EC0F55"/>
    <w:rsid w:val="00EC1E25"/>
    <w:rsid w:val="00EC2653"/>
    <w:rsid w:val="00EC2A35"/>
    <w:rsid w:val="00EC35F5"/>
    <w:rsid w:val="00EC42C0"/>
    <w:rsid w:val="00ED07C3"/>
    <w:rsid w:val="00ED0C58"/>
    <w:rsid w:val="00ED2DD0"/>
    <w:rsid w:val="00ED4871"/>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5AE1"/>
    <w:rsid w:val="00F17D02"/>
    <w:rsid w:val="00F24869"/>
    <w:rsid w:val="00F25A12"/>
    <w:rsid w:val="00F302FE"/>
    <w:rsid w:val="00F3283C"/>
    <w:rsid w:val="00F34234"/>
    <w:rsid w:val="00F36DDB"/>
    <w:rsid w:val="00F37734"/>
    <w:rsid w:val="00F37A14"/>
    <w:rsid w:val="00F41729"/>
    <w:rsid w:val="00F419A6"/>
    <w:rsid w:val="00F4281B"/>
    <w:rsid w:val="00F42A90"/>
    <w:rsid w:val="00F43CD1"/>
    <w:rsid w:val="00F4652D"/>
    <w:rsid w:val="00F47BC0"/>
    <w:rsid w:val="00F52ED3"/>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BF8"/>
    <w:rsid w:val="00FA7D3C"/>
    <w:rsid w:val="00FB11EF"/>
    <w:rsid w:val="00FB741A"/>
    <w:rsid w:val="00FC12A3"/>
    <w:rsid w:val="00FC1368"/>
    <w:rsid w:val="00FC461E"/>
    <w:rsid w:val="00FC5E2F"/>
    <w:rsid w:val="00FC6F05"/>
    <w:rsid w:val="00FD289A"/>
    <w:rsid w:val="00FD300C"/>
    <w:rsid w:val="00FD41C4"/>
    <w:rsid w:val="00FD7ED6"/>
    <w:rsid w:val="00FE0A18"/>
    <w:rsid w:val="00FE1F8E"/>
    <w:rsid w:val="00FE2969"/>
    <w:rsid w:val="00FE3326"/>
    <w:rsid w:val="00FE455C"/>
    <w:rsid w:val="00FE47F7"/>
    <w:rsid w:val="00FE5522"/>
    <w:rsid w:val="00FE6608"/>
    <w:rsid w:val="00FE6FAB"/>
    <w:rsid w:val="00FF003B"/>
    <w:rsid w:val="00FF0BB3"/>
    <w:rsid w:val="00FF2E97"/>
    <w:rsid w:val="00FF498F"/>
    <w:rsid w:val="00FF5067"/>
    <w:rsid w:val="52E42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9FF6E"/>
  <w15:docId w15:val="{4A6DC9DB-DB8F-8C42-BD8F-934F40764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jc w:val="center"/>
    </w:pPr>
    <w:rPr>
      <w:b/>
      <w:bCs/>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uiPriority w:val="99"/>
    <w:qFormat/>
    <w:pPr>
      <w:spacing w:after="180"/>
      <w:ind w:left="851" w:hanging="284"/>
    </w:pPr>
    <w:rPr>
      <w:sz w:val="20"/>
      <w:szCs w:val="20"/>
      <w:lang w:val="zh-CN" w:eastAsia="en-US"/>
    </w:rPr>
  </w:style>
  <w:style w:type="character" w:customStyle="1" w:styleId="B2Char">
    <w:name w:val="B2 Char"/>
    <w:link w:val="B2"/>
    <w:uiPriority w:val="99"/>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5Dark-Accent21">
    <w:name w:val="Grid Table 5 Dark - Accent 2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61">
    <w:name w:val="Grid Table 5 Dark - Accent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Accent11">
    <w:name w:val="Grid Table 6 Colorful - Accent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11">
    <w:name w:val="List Table 6 Colorful - Accent 11"/>
    <w:basedOn w:val="TableNormal"/>
    <w:uiPriority w:val="51"/>
    <w:qFormat/>
    <w:rPr>
      <w:color w:val="2F5496" w:themeColor="accent1" w:themeShade="BF"/>
    </w:rPr>
    <w:tblPr>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qFormat/>
  </w:style>
  <w:style w:type="paragraph" w:customStyle="1" w:styleId="xmsonormal">
    <w:name w:val="xmsonormal"/>
    <w:basedOn w:val="Normal"/>
    <w:uiPriority w:val="99"/>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qFormat/>
    <w:rPr>
      <w:rFonts w:eastAsia="Malgun Gothic"/>
      <w:lang w:eastAsia="ko-KR"/>
    </w:rPr>
  </w:style>
  <w:style w:type="character" w:customStyle="1" w:styleId="xxxapple-converted-space">
    <w:name w:val="x_xxapple-converted-space"/>
    <w:qFormat/>
  </w:style>
  <w:style w:type="character" w:customStyle="1" w:styleId="B1Char">
    <w:name w:val="B1 Char"/>
    <w:qFormat/>
    <w:rPr>
      <w:rFonts w:eastAsia="Times New Roman"/>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paragraph" w:customStyle="1" w:styleId="xmsonormal0">
    <w:name w:val="x_msonormal"/>
    <w:basedOn w:val="Normal"/>
    <w:qFormat/>
    <w:rPr>
      <w:rFonts w:ascii="Calibri" w:eastAsia="Calibri" w:hAnsi="Calibri" w:cs="Calibri"/>
      <w:sz w:val="22"/>
      <w:szCs w:val="22"/>
      <w:lang w:eastAsia="en-US"/>
    </w:rPr>
  </w:style>
  <w:style w:type="table" w:customStyle="1" w:styleId="ListTable3-Accent61">
    <w:name w:val="List Table 3 - Accent 61"/>
    <w:basedOn w:val="TableNormal"/>
    <w:uiPriority w:val="48"/>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s">
    <w:name w:val="正文s"/>
    <w:basedOn w:val="Normal"/>
    <w:qFormat/>
    <w:pPr>
      <w:jc w:val="both"/>
    </w:pPr>
    <w:rPr>
      <w:rFonts w:eastAsia="SimSun"/>
      <w:iCs/>
      <w:sz w:val="21"/>
      <w:szCs w:val="21"/>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401490">
      <w:bodyDiv w:val="1"/>
      <w:marLeft w:val="0"/>
      <w:marRight w:val="0"/>
      <w:marTop w:val="0"/>
      <w:marBottom w:val="0"/>
      <w:divBdr>
        <w:top w:val="none" w:sz="0" w:space="0" w:color="auto"/>
        <w:left w:val="none" w:sz="0" w:space="0" w:color="auto"/>
        <w:bottom w:val="none" w:sz="0" w:space="0" w:color="auto"/>
        <w:right w:val="none" w:sz="0" w:space="0" w:color="auto"/>
      </w:divBdr>
      <w:divsChild>
        <w:div w:id="581181556">
          <w:marLeft w:val="0"/>
          <w:marRight w:val="0"/>
          <w:marTop w:val="0"/>
          <w:marBottom w:val="0"/>
          <w:divBdr>
            <w:top w:val="none" w:sz="0" w:space="0" w:color="auto"/>
            <w:left w:val="none" w:sz="0" w:space="0" w:color="auto"/>
            <w:bottom w:val="none" w:sz="0" w:space="0" w:color="auto"/>
            <w:right w:val="none" w:sz="0" w:space="0" w:color="auto"/>
          </w:divBdr>
          <w:divsChild>
            <w:div w:id="1535313067">
              <w:marLeft w:val="0"/>
              <w:marRight w:val="0"/>
              <w:marTop w:val="0"/>
              <w:marBottom w:val="0"/>
              <w:divBdr>
                <w:top w:val="none" w:sz="0" w:space="0" w:color="auto"/>
                <w:left w:val="none" w:sz="0" w:space="0" w:color="auto"/>
                <w:bottom w:val="none" w:sz="0" w:space="0" w:color="auto"/>
                <w:right w:val="none" w:sz="0" w:space="0" w:color="auto"/>
              </w:divBdr>
              <w:divsChild>
                <w:div w:id="828981899">
                  <w:marLeft w:val="0"/>
                  <w:marRight w:val="0"/>
                  <w:marTop w:val="0"/>
                  <w:marBottom w:val="0"/>
                  <w:divBdr>
                    <w:top w:val="none" w:sz="0" w:space="0" w:color="auto"/>
                    <w:left w:val="none" w:sz="0" w:space="0" w:color="auto"/>
                    <w:bottom w:val="none" w:sz="0" w:space="0" w:color="auto"/>
                    <w:right w:val="none" w:sz="0" w:space="0" w:color="auto"/>
                  </w:divBdr>
                  <w:divsChild>
                    <w:div w:id="130099621">
                      <w:marLeft w:val="0"/>
                      <w:marRight w:val="0"/>
                      <w:marTop w:val="0"/>
                      <w:marBottom w:val="0"/>
                      <w:divBdr>
                        <w:top w:val="none" w:sz="0" w:space="0" w:color="auto"/>
                        <w:left w:val="none" w:sz="0" w:space="0" w:color="auto"/>
                        <w:bottom w:val="none" w:sz="0" w:space="0" w:color="auto"/>
                        <w:right w:val="none" w:sz="0" w:space="0" w:color="auto"/>
                      </w:divBdr>
                      <w:divsChild>
                        <w:div w:id="44376233">
                          <w:marLeft w:val="0"/>
                          <w:marRight w:val="0"/>
                          <w:marTop w:val="0"/>
                          <w:marBottom w:val="0"/>
                          <w:divBdr>
                            <w:top w:val="none" w:sz="0" w:space="0" w:color="auto"/>
                            <w:left w:val="none" w:sz="0" w:space="0" w:color="auto"/>
                            <w:bottom w:val="none" w:sz="0" w:space="0" w:color="auto"/>
                            <w:right w:val="none" w:sz="0" w:space="0" w:color="auto"/>
                          </w:divBdr>
                          <w:divsChild>
                            <w:div w:id="46138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5</Pages>
  <Words>2026</Words>
  <Characters>11553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Ali Fakoorian</cp:lastModifiedBy>
  <cp:revision>4</cp:revision>
  <dcterms:created xsi:type="dcterms:W3CDTF">2024-08-20T10:05:00Z</dcterms:created>
  <dcterms:modified xsi:type="dcterms:W3CDTF">2024-08-21T13:56:00Z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2024-08-19T13:32:39Z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c1968427-1c09-4cff-ada7-ffead6248aa9</vt:lpwstr>
  </property>
  <property fmtid="{D5CDD505-2E9C-101B-9397-08002B2CF9AE}" pid="8" name="MSIP_Label_83bcef13-7cac-433f-ba1d-47a323951816_ContentBits">
    <vt:lpwstr>0</vt:lpwstr>
  </property>
  <property fmtid="{D5CDD505-2E9C-101B-9397-08002B2CF9AE}" pid="9" name="KSOProductBuildVer">
    <vt:lpwstr>2052-12.1.0.17827</vt:lpwstr>
  </property>
  <property fmtid="{D5CDD505-2E9C-101B-9397-08002B2CF9AE}" pid="10" name="ICV">
    <vt:lpwstr>CD484B871BA94E7E96C1A350AE5BE463_13</vt:lpwstr>
  </property>
</Properties>
</file>